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5105" w:type="pct"/>
        <w:tblInd w:w="0" w:type="dxa"/>
        <w:tblLayout w:type="autofit"/>
        <w:tblCellMar>
          <w:top w:w="0" w:type="dxa"/>
          <w:left w:w="108" w:type="dxa"/>
          <w:bottom w:w="0" w:type="dxa"/>
          <w:right w:w="108" w:type="dxa"/>
        </w:tblCellMar>
      </w:tblPr>
      <w:tblGrid>
        <w:gridCol w:w="752"/>
        <w:gridCol w:w="752"/>
        <w:gridCol w:w="636"/>
        <w:gridCol w:w="889"/>
        <w:gridCol w:w="753"/>
        <w:gridCol w:w="4947"/>
        <w:gridCol w:w="4559"/>
        <w:gridCol w:w="1184"/>
      </w:tblGrid>
      <w:tr>
        <w:tblPrEx>
          <w:tblCellMar>
            <w:top w:w="0" w:type="dxa"/>
            <w:left w:w="108" w:type="dxa"/>
            <w:bottom w:w="0" w:type="dxa"/>
            <w:right w:w="108" w:type="dxa"/>
          </w:tblCellMar>
        </w:tblPrEx>
        <w:tc>
          <w:tcPr>
            <w:tcW w:w="260" w:type="pct"/>
            <w:vAlign w:val="center"/>
          </w:tcPr>
          <w:p>
            <w:pPr>
              <w:jc w:val="center"/>
              <w:rPr>
                <w:rFonts w:ascii="仿宋_GB2312" w:hAnsi="Times New Roman" w:eastAsia="仿宋_GB2312"/>
                <w:b/>
                <w:szCs w:val="21"/>
              </w:rPr>
            </w:pPr>
            <w:bookmarkStart w:id="0" w:name="_GoBack"/>
            <w:bookmarkEnd w:id="0"/>
            <w:r>
              <w:rPr>
                <w:rFonts w:hint="eastAsia" w:ascii="仿宋_GB2312" w:hAnsi="Times New Roman" w:eastAsia="仿宋_GB2312"/>
                <w:b/>
                <w:szCs w:val="21"/>
              </w:rPr>
              <w:t>附表：</w:t>
            </w:r>
          </w:p>
        </w:tc>
        <w:tc>
          <w:tcPr>
            <w:tcW w:w="260" w:type="pct"/>
            <w:vAlign w:val="center"/>
          </w:tcPr>
          <w:p>
            <w:pPr>
              <w:jc w:val="center"/>
              <w:rPr>
                <w:rFonts w:ascii="仿宋_GB2312" w:hAnsi="Times New Roman" w:eastAsia="仿宋_GB2312"/>
                <w:szCs w:val="21"/>
              </w:rPr>
            </w:pPr>
          </w:p>
        </w:tc>
        <w:tc>
          <w:tcPr>
            <w:tcW w:w="220" w:type="pct"/>
            <w:vAlign w:val="center"/>
          </w:tcPr>
          <w:p>
            <w:pPr>
              <w:jc w:val="center"/>
              <w:rPr>
                <w:rFonts w:ascii="仿宋_GB2312" w:hAnsi="仿宋" w:eastAsia="仿宋_GB2312"/>
                <w:szCs w:val="21"/>
              </w:rPr>
            </w:pPr>
          </w:p>
        </w:tc>
        <w:tc>
          <w:tcPr>
            <w:tcW w:w="307" w:type="pct"/>
            <w:vAlign w:val="center"/>
          </w:tcPr>
          <w:p>
            <w:pPr>
              <w:rPr>
                <w:rFonts w:ascii="仿宋_GB2312" w:hAnsi="Times New Roman" w:eastAsia="仿宋_GB2312"/>
                <w:szCs w:val="21"/>
              </w:rPr>
            </w:pPr>
          </w:p>
        </w:tc>
        <w:tc>
          <w:tcPr>
            <w:tcW w:w="260" w:type="pct"/>
            <w:vAlign w:val="center"/>
          </w:tcPr>
          <w:p>
            <w:pPr>
              <w:jc w:val="center"/>
              <w:rPr>
                <w:rFonts w:ascii="仿宋_GB2312" w:hAnsi="Times New Roman" w:eastAsia="仿宋_GB2312"/>
                <w:szCs w:val="21"/>
              </w:rPr>
            </w:pPr>
          </w:p>
        </w:tc>
        <w:tc>
          <w:tcPr>
            <w:tcW w:w="1709" w:type="pct"/>
            <w:vAlign w:val="center"/>
          </w:tcPr>
          <w:p>
            <w:pPr>
              <w:snapToGrid w:val="0"/>
              <w:ind w:firstLine="1260" w:firstLineChars="600"/>
              <w:rPr>
                <w:rFonts w:ascii="仿宋_GB2312" w:hAnsi="仿宋" w:eastAsia="仿宋_GB2312"/>
                <w:szCs w:val="21"/>
              </w:rPr>
            </w:pPr>
          </w:p>
        </w:tc>
        <w:tc>
          <w:tcPr>
            <w:tcW w:w="1575" w:type="pct"/>
            <w:vAlign w:val="center"/>
          </w:tcPr>
          <w:p>
            <w:pPr>
              <w:snapToGrid w:val="0"/>
              <w:ind w:firstLine="1050" w:firstLineChars="500"/>
              <w:rPr>
                <w:rFonts w:ascii="仿宋_GB2312" w:hAnsi="楷体" w:eastAsia="仿宋_GB2312"/>
                <w:szCs w:val="21"/>
              </w:rPr>
            </w:pPr>
          </w:p>
        </w:tc>
        <w:tc>
          <w:tcPr>
            <w:tcW w:w="405" w:type="pct"/>
            <w:vAlign w:val="center"/>
          </w:tcPr>
          <w:p>
            <w:pPr>
              <w:adjustRightInd w:val="0"/>
              <w:snapToGrid w:val="0"/>
              <w:ind w:firstLine="210" w:firstLineChars="100"/>
              <w:rPr>
                <w:rFonts w:ascii="仿宋_GB2312" w:hAnsi="楷体" w:eastAsia="仿宋_GB2312"/>
                <w:szCs w:val="21"/>
              </w:rPr>
            </w:pPr>
          </w:p>
        </w:tc>
      </w:tr>
      <w:tr>
        <w:tblPrEx>
          <w:tblCellMar>
            <w:top w:w="0" w:type="dxa"/>
            <w:left w:w="108" w:type="dxa"/>
            <w:bottom w:w="0" w:type="dxa"/>
            <w:right w:w="108" w:type="dxa"/>
          </w:tblCellMar>
        </w:tblPrEx>
        <w:tc>
          <w:tcPr>
            <w:tcW w:w="5000" w:type="pct"/>
            <w:gridSpan w:val="8"/>
            <w:tcBorders>
              <w:bottom w:val="single" w:color="auto" w:sz="4" w:space="0"/>
            </w:tcBorders>
            <w:vAlign w:val="center"/>
          </w:tcPr>
          <w:p>
            <w:pPr>
              <w:jc w:val="right"/>
              <w:rPr>
                <w:rFonts w:ascii="仿宋_GB2312" w:hAnsi="Times New Roman" w:eastAsia="仿宋_GB2312"/>
                <w:szCs w:val="21"/>
              </w:rPr>
            </w:pPr>
          </w:p>
          <w:p>
            <w:pPr>
              <w:snapToGrid w:val="0"/>
              <w:jc w:val="center"/>
              <w:rPr>
                <w:rFonts w:ascii="仿宋_GB2312" w:hAnsi="仿宋" w:eastAsia="仿宋_GB2312"/>
                <w:b/>
                <w:sz w:val="32"/>
                <w:szCs w:val="32"/>
              </w:rPr>
            </w:pPr>
            <w:r>
              <w:rPr>
                <w:rFonts w:hint="eastAsia" w:ascii="仿宋_GB2312" w:hAnsi="仿宋" w:eastAsia="仿宋_GB2312"/>
                <w:b/>
                <w:sz w:val="32"/>
                <w:szCs w:val="32"/>
              </w:rPr>
              <w:t>辽宁朝阳凌源经济开发区管委会公开招聘</w:t>
            </w:r>
          </w:p>
          <w:p>
            <w:pPr>
              <w:snapToGrid w:val="0"/>
              <w:jc w:val="center"/>
              <w:rPr>
                <w:rFonts w:ascii="仿宋_GB2312" w:hAnsi="仿宋" w:eastAsia="仿宋_GB2312"/>
                <w:b/>
                <w:sz w:val="32"/>
                <w:szCs w:val="32"/>
              </w:rPr>
            </w:pPr>
            <w:r>
              <w:rPr>
                <w:rFonts w:hint="eastAsia" w:ascii="仿宋_GB2312" w:hAnsi="仿宋" w:eastAsia="仿宋_GB2312"/>
                <w:b/>
                <w:sz w:val="32"/>
                <w:szCs w:val="32"/>
              </w:rPr>
              <w:t>凌源产业招商有限责任公司职位说明</w:t>
            </w:r>
          </w:p>
          <w:p>
            <w:pPr>
              <w:adjustRightInd w:val="0"/>
              <w:snapToGrid w:val="0"/>
              <w:ind w:firstLine="210" w:firstLineChars="100"/>
              <w:rPr>
                <w:rFonts w:ascii="仿宋_GB2312" w:hAnsi="楷体" w:eastAsia="仿宋_GB2312"/>
                <w:szCs w:val="21"/>
              </w:rPr>
            </w:pPr>
          </w:p>
        </w:tc>
      </w:tr>
      <w:tr>
        <w:tblPrEx>
          <w:tblCellMar>
            <w:top w:w="0" w:type="dxa"/>
            <w:left w:w="108" w:type="dxa"/>
            <w:bottom w:w="0" w:type="dxa"/>
            <w:right w:w="108" w:type="dxa"/>
          </w:tblCellMar>
        </w:tblPrEx>
        <w:trPr>
          <w:trHeight w:val="534" w:hRule="atLeast"/>
        </w:trPr>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b/>
                <w:sz w:val="24"/>
                <w:szCs w:val="24"/>
              </w:rPr>
            </w:pPr>
            <w:r>
              <w:rPr>
                <w:rFonts w:hint="eastAsia" w:ascii="仿宋_GB2312" w:hAnsi="Times New Roman" w:eastAsia="仿宋_GB2312"/>
                <w:b/>
                <w:sz w:val="24"/>
                <w:szCs w:val="24"/>
              </w:rPr>
              <w:t>名称</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b/>
                <w:sz w:val="24"/>
                <w:szCs w:val="24"/>
              </w:rPr>
            </w:pPr>
            <w:r>
              <w:rPr>
                <w:rFonts w:hint="eastAsia" w:ascii="仿宋_GB2312" w:hAnsi="Times New Roman" w:eastAsia="仿宋_GB2312"/>
                <w:b/>
                <w:sz w:val="24"/>
                <w:szCs w:val="24"/>
              </w:rPr>
              <w:t>职位</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b/>
                <w:sz w:val="24"/>
                <w:szCs w:val="24"/>
              </w:rPr>
            </w:pPr>
            <w:r>
              <w:rPr>
                <w:rFonts w:hint="eastAsia" w:ascii="仿宋_GB2312" w:hAnsi="仿宋" w:eastAsia="仿宋_GB2312"/>
                <w:b/>
                <w:sz w:val="24"/>
                <w:szCs w:val="24"/>
              </w:rPr>
              <w:t>人数</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b/>
                <w:sz w:val="24"/>
                <w:szCs w:val="24"/>
              </w:rPr>
            </w:pPr>
            <w:r>
              <w:rPr>
                <w:rFonts w:hint="eastAsia" w:ascii="仿宋_GB2312" w:hAnsi="Times New Roman" w:eastAsia="仿宋_GB2312"/>
                <w:b/>
                <w:sz w:val="24"/>
                <w:szCs w:val="24"/>
              </w:rPr>
              <w:t>学历</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b/>
                <w:sz w:val="24"/>
                <w:szCs w:val="24"/>
              </w:rPr>
            </w:pPr>
            <w:r>
              <w:rPr>
                <w:rFonts w:hint="eastAsia" w:ascii="仿宋_GB2312" w:hAnsi="Times New Roman" w:eastAsia="仿宋_GB2312"/>
                <w:b/>
                <w:sz w:val="24"/>
                <w:szCs w:val="24"/>
              </w:rPr>
              <w:t>性别</w:t>
            </w:r>
          </w:p>
        </w:tc>
        <w:tc>
          <w:tcPr>
            <w:tcW w:w="1709" w:type="pct"/>
            <w:tcBorders>
              <w:top w:val="single" w:color="auto" w:sz="4" w:space="0"/>
              <w:left w:val="single" w:color="auto" w:sz="4" w:space="0"/>
              <w:bottom w:val="single" w:color="auto" w:sz="4" w:space="0"/>
              <w:right w:val="single" w:color="auto" w:sz="4" w:space="0"/>
            </w:tcBorders>
            <w:vAlign w:val="center"/>
          </w:tcPr>
          <w:p>
            <w:pPr>
              <w:snapToGrid w:val="0"/>
              <w:ind w:firstLine="1446" w:firstLineChars="600"/>
              <w:rPr>
                <w:rFonts w:ascii="仿宋_GB2312" w:hAnsi="仿宋" w:eastAsia="仿宋_GB2312"/>
                <w:b/>
                <w:sz w:val="24"/>
                <w:szCs w:val="24"/>
              </w:rPr>
            </w:pPr>
            <w:r>
              <w:rPr>
                <w:rFonts w:hint="eastAsia" w:ascii="仿宋_GB2312" w:hAnsi="仿宋" w:eastAsia="仿宋_GB2312"/>
                <w:b/>
                <w:sz w:val="24"/>
                <w:szCs w:val="24"/>
              </w:rPr>
              <w:t>资格条件</w:t>
            </w:r>
          </w:p>
        </w:tc>
        <w:tc>
          <w:tcPr>
            <w:tcW w:w="1575" w:type="pct"/>
            <w:tcBorders>
              <w:top w:val="single" w:color="auto" w:sz="4" w:space="0"/>
              <w:left w:val="single" w:color="auto" w:sz="4" w:space="0"/>
              <w:bottom w:val="single" w:color="auto" w:sz="4" w:space="0"/>
              <w:right w:val="single" w:color="auto" w:sz="4" w:space="0"/>
            </w:tcBorders>
            <w:vAlign w:val="center"/>
          </w:tcPr>
          <w:p>
            <w:pPr>
              <w:snapToGrid w:val="0"/>
              <w:ind w:firstLine="1205" w:firstLineChars="500"/>
              <w:rPr>
                <w:rFonts w:ascii="仿宋_GB2312" w:hAnsi="楷体" w:eastAsia="仿宋_GB2312"/>
                <w:b/>
                <w:sz w:val="24"/>
                <w:szCs w:val="24"/>
              </w:rPr>
            </w:pPr>
            <w:r>
              <w:rPr>
                <w:rFonts w:hint="eastAsia" w:ascii="仿宋_GB2312" w:hAnsi="楷体" w:eastAsia="仿宋_GB2312"/>
                <w:b/>
                <w:sz w:val="24"/>
                <w:szCs w:val="24"/>
              </w:rPr>
              <w:t>工作要求</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241" w:firstLineChars="100"/>
              <w:rPr>
                <w:rFonts w:ascii="仿宋_GB2312" w:hAnsi="楷体" w:eastAsia="仿宋_GB2312"/>
                <w:b/>
                <w:sz w:val="24"/>
                <w:szCs w:val="24"/>
              </w:rPr>
            </w:pPr>
            <w:r>
              <w:rPr>
                <w:rFonts w:hint="eastAsia" w:ascii="仿宋_GB2312" w:hAnsi="楷体" w:eastAsia="仿宋_GB2312"/>
                <w:b/>
                <w:sz w:val="24"/>
                <w:szCs w:val="24"/>
              </w:rPr>
              <w:t>薪酬</w:t>
            </w:r>
          </w:p>
        </w:tc>
      </w:tr>
      <w:tr>
        <w:tblPrEx>
          <w:tblCellMar>
            <w:top w:w="0" w:type="dxa"/>
            <w:left w:w="108" w:type="dxa"/>
            <w:bottom w:w="0" w:type="dxa"/>
            <w:right w:w="108" w:type="dxa"/>
          </w:tblCellMar>
        </w:tblPrEx>
        <w:trPr>
          <w:trHeight w:val="5078" w:hRule="atLeast"/>
        </w:trPr>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凌源产业招商有限责任公司</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总经理</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1</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Times New Roman" w:eastAsia="仿宋_GB2312"/>
                <w:szCs w:val="21"/>
              </w:rPr>
              <w:t>全日制大学本科及以上学历，学士及以上学位</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不限</w:t>
            </w:r>
          </w:p>
        </w:tc>
        <w:tc>
          <w:tcPr>
            <w:tcW w:w="1709" w:type="pct"/>
            <w:tcBorders>
              <w:top w:val="single" w:color="auto" w:sz="4" w:space="0"/>
              <w:left w:val="single" w:color="auto" w:sz="4" w:space="0"/>
              <w:bottom w:val="single" w:color="auto" w:sz="4" w:space="0"/>
              <w:right w:val="single" w:color="auto" w:sz="4" w:space="0"/>
            </w:tcBorders>
            <w:vAlign w:val="center"/>
          </w:tcPr>
          <w:p>
            <w:pPr>
              <w:snapToGrid w:val="0"/>
              <w:ind w:firstLine="400"/>
              <w:rPr>
                <w:rFonts w:ascii="仿宋_GB2312" w:hAnsi="仿宋" w:eastAsia="仿宋_GB2312"/>
                <w:szCs w:val="21"/>
              </w:rPr>
            </w:pPr>
            <w:r>
              <w:rPr>
                <w:rFonts w:ascii="仿宋_GB2312" w:hAnsi="仿宋" w:eastAsia="仿宋_GB2312"/>
                <w:szCs w:val="21"/>
              </w:rPr>
              <w:t>1.熟悉国家产业发展政策，具备5年及以上招商引资、投资促进等领域工作经验，具备丰富的社会资源和行业资源，工作业绩优异。其中，具有知名金融、咨询机构管理经验者，具有开发园区等机构平台招商引资及相关项目管理经验者</w:t>
            </w:r>
            <w:r>
              <w:rPr>
                <w:rFonts w:hint="eastAsia" w:ascii="仿宋_GB2312" w:hAnsi="仿宋" w:eastAsia="仿宋_GB2312"/>
                <w:szCs w:val="21"/>
              </w:rPr>
              <w:t>优先考虑，策划包装、主导参与过重大招商引资项目以及在大型企业中担任中层及以上管理岗者优先考虑。</w:t>
            </w:r>
          </w:p>
          <w:p>
            <w:pPr>
              <w:snapToGrid w:val="0"/>
              <w:ind w:firstLine="400"/>
              <w:rPr>
                <w:rFonts w:ascii="仿宋_GB2312" w:hAnsi="仿宋" w:eastAsia="仿宋_GB2312"/>
                <w:szCs w:val="21"/>
              </w:rPr>
            </w:pPr>
            <w:r>
              <w:rPr>
                <w:rFonts w:ascii="仿宋_GB2312" w:hAnsi="仿宋" w:eastAsia="仿宋_GB2312"/>
                <w:szCs w:val="21"/>
              </w:rPr>
              <w:t>2.具备优秀的沟通能力、公关能力、商务谈判能力、组织协调能力和团队协作精神，思维敏捷，处理沉稳，有较强的应变能力。</w:t>
            </w:r>
          </w:p>
          <w:p>
            <w:pPr>
              <w:snapToGrid w:val="0"/>
              <w:ind w:firstLine="400"/>
              <w:rPr>
                <w:rFonts w:ascii="仿宋_GB2312" w:hAnsi="仿宋" w:eastAsia="仿宋_GB2312"/>
                <w:szCs w:val="21"/>
              </w:rPr>
            </w:pPr>
            <w:r>
              <w:rPr>
                <w:rFonts w:ascii="仿宋_GB2312" w:hAnsi="仿宋" w:eastAsia="仿宋_GB2312"/>
                <w:szCs w:val="21"/>
              </w:rPr>
              <w:t>3.为人正直、事业心和责任心强，热爱招商工作，身体健康、精力充沛、吃苦耐劳，能承受一定的工作压力。</w:t>
            </w:r>
          </w:p>
          <w:p>
            <w:pPr>
              <w:snapToGrid w:val="0"/>
              <w:ind w:firstLine="400"/>
              <w:rPr>
                <w:rFonts w:ascii="仿宋_GB2312" w:hAnsi="仿宋" w:eastAsia="仿宋_GB2312"/>
                <w:szCs w:val="21"/>
              </w:rPr>
            </w:pPr>
            <w:r>
              <w:rPr>
                <w:rFonts w:ascii="仿宋_GB2312" w:hAnsi="仿宋" w:eastAsia="仿宋_GB2312"/>
                <w:szCs w:val="21"/>
              </w:rPr>
              <w:t>4.年龄一般不超过45</w:t>
            </w:r>
            <w:r>
              <w:rPr>
                <w:rFonts w:hint="eastAsia" w:ascii="仿宋_GB2312" w:hAnsi="仿宋" w:eastAsia="仿宋_GB2312"/>
                <w:szCs w:val="21"/>
              </w:rPr>
              <w:t>周岁</w:t>
            </w:r>
            <w:r>
              <w:rPr>
                <w:rFonts w:ascii="仿宋_GB2312" w:hAnsi="仿宋" w:eastAsia="仿宋_GB2312"/>
                <w:szCs w:val="21"/>
              </w:rPr>
              <w:t>(1976年11月18</w:t>
            </w:r>
            <w:r>
              <w:rPr>
                <w:rFonts w:hint="eastAsia" w:ascii="仿宋_GB2312" w:hAnsi="仿宋" w:eastAsia="仿宋_GB2312"/>
                <w:szCs w:val="21"/>
              </w:rPr>
              <w:t>日及以后出生</w:t>
            </w:r>
            <w:r>
              <w:rPr>
                <w:rFonts w:ascii="仿宋_GB2312" w:hAnsi="仿宋" w:eastAsia="仿宋_GB2312"/>
                <w:szCs w:val="21"/>
              </w:rPr>
              <w:t>)</w:t>
            </w:r>
            <w:r>
              <w:rPr>
                <w:rFonts w:hint="eastAsia" w:ascii="仿宋_GB2312" w:hAnsi="仿宋" w:eastAsia="仿宋_GB2312"/>
                <w:szCs w:val="21"/>
              </w:rPr>
              <w:t>，研究生、博士生年龄可适当放宽。</w:t>
            </w:r>
          </w:p>
        </w:tc>
        <w:tc>
          <w:tcPr>
            <w:tcW w:w="1575" w:type="pct"/>
            <w:tcBorders>
              <w:top w:val="single" w:color="auto" w:sz="4" w:space="0"/>
              <w:left w:val="single" w:color="auto" w:sz="4" w:space="0"/>
              <w:bottom w:val="single" w:color="auto" w:sz="4" w:space="0"/>
              <w:right w:val="single" w:color="auto" w:sz="4" w:space="0"/>
            </w:tcBorders>
            <w:vAlign w:val="center"/>
          </w:tcPr>
          <w:p>
            <w:pPr>
              <w:snapToGrid w:val="0"/>
              <w:ind w:firstLine="400"/>
              <w:rPr>
                <w:rFonts w:ascii="仿宋_GB2312" w:hAnsi="楷体" w:eastAsia="仿宋_GB2312"/>
                <w:szCs w:val="21"/>
              </w:rPr>
            </w:pPr>
            <w:r>
              <w:rPr>
                <w:rFonts w:ascii="仿宋_GB2312" w:hAnsi="楷体" w:eastAsia="仿宋_GB2312"/>
                <w:szCs w:val="21"/>
              </w:rPr>
              <w:t>1.</w:t>
            </w:r>
            <w:r>
              <w:rPr>
                <w:rFonts w:hint="eastAsia" w:ascii="仿宋_GB2312" w:hAnsi="楷体" w:eastAsia="仿宋_GB2312"/>
                <w:szCs w:val="21"/>
              </w:rPr>
              <w:t>负责重点产业优质项目的招商和签约落地</w:t>
            </w:r>
            <w:r>
              <w:rPr>
                <w:rFonts w:ascii="仿宋_GB2312" w:hAnsi="楷体" w:eastAsia="仿宋_GB2312"/>
                <w:szCs w:val="21"/>
              </w:rPr>
              <w:t>,</w:t>
            </w:r>
            <w:r>
              <w:rPr>
                <w:rFonts w:hint="eastAsia" w:ascii="仿宋_GB2312" w:hAnsi="楷体" w:eastAsia="仿宋_GB2312"/>
                <w:szCs w:val="21"/>
              </w:rPr>
              <w:t>完成开发区管委会和集团公司下达的招商引资任务指标。</w:t>
            </w:r>
          </w:p>
          <w:p>
            <w:pPr>
              <w:snapToGrid w:val="0"/>
              <w:ind w:firstLine="400"/>
              <w:rPr>
                <w:rFonts w:ascii="仿宋_GB2312" w:hAnsi="楷体" w:eastAsia="仿宋_GB2312"/>
                <w:szCs w:val="21"/>
              </w:rPr>
            </w:pPr>
            <w:r>
              <w:rPr>
                <w:rFonts w:ascii="仿宋_GB2312" w:hAnsi="楷体" w:eastAsia="仿宋_GB2312"/>
                <w:szCs w:val="21"/>
              </w:rPr>
              <w:t>2.负责搭建完善的招商引资工作体系，拓展招商渠道，信息收集、项目分析、项目包装策划等。</w:t>
            </w:r>
          </w:p>
          <w:p>
            <w:pPr>
              <w:snapToGrid w:val="0"/>
              <w:ind w:firstLine="400"/>
              <w:rPr>
                <w:rFonts w:ascii="仿宋_GB2312" w:hAnsi="楷体" w:eastAsia="宋体"/>
                <w:szCs w:val="21"/>
              </w:rPr>
            </w:pPr>
            <w:r>
              <w:rPr>
                <w:rFonts w:ascii="仿宋_GB2312" w:hAnsi="楷体" w:eastAsia="仿宋_GB2312"/>
                <w:szCs w:val="21"/>
              </w:rPr>
              <w:t>3.对市场进行调研分析，研究产业链招商图谱，制订相应的招商定位和策略，尤其针对500强企业或重大重点项目，制定一企一策的招商方案。</w:t>
            </w:r>
          </w:p>
          <w:p>
            <w:pPr>
              <w:snapToGrid w:val="0"/>
              <w:ind w:firstLine="400"/>
              <w:rPr>
                <w:rFonts w:ascii="仿宋_GB2312" w:hAnsi="楷体" w:eastAsia="仿宋_GB2312"/>
                <w:szCs w:val="21"/>
              </w:rPr>
            </w:pPr>
            <w:r>
              <w:rPr>
                <w:rFonts w:ascii="仿宋_GB2312" w:hAnsi="楷体" w:eastAsia="仿宋_GB2312"/>
                <w:szCs w:val="21"/>
              </w:rPr>
              <w:t>4.独立进行招商项目谈判和交涉、跟进和签约，策划组织实施各类招商推进活动。</w:t>
            </w:r>
          </w:p>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5.完成</w:t>
            </w:r>
            <w:r>
              <w:rPr>
                <w:rFonts w:hint="eastAsia" w:ascii="仿宋_GB2312" w:hAnsi="楷体" w:eastAsia="仿宋_GB2312"/>
                <w:szCs w:val="21"/>
              </w:rPr>
              <w:t>管委会及集团交办的其他任务。</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楷体" w:eastAsia="仿宋_GB2312"/>
                <w:szCs w:val="21"/>
              </w:rPr>
            </w:pPr>
            <w:r>
              <w:rPr>
                <w:rFonts w:hint="eastAsia" w:ascii="仿宋_GB2312" w:hAnsi="楷体" w:eastAsia="仿宋_GB2312"/>
                <w:szCs w:val="21"/>
              </w:rPr>
              <w:t>税前年薪</w:t>
            </w:r>
          </w:p>
          <w:p>
            <w:pPr>
              <w:adjustRightInd w:val="0"/>
              <w:snapToGrid w:val="0"/>
              <w:jc w:val="center"/>
              <w:rPr>
                <w:rFonts w:ascii="仿宋_GB2312" w:hAnsi="楷体" w:eastAsia="仿宋_GB2312"/>
                <w:szCs w:val="21"/>
              </w:rPr>
            </w:pPr>
            <w:r>
              <w:rPr>
                <w:rFonts w:ascii="仿宋_GB2312" w:hAnsi="楷体" w:eastAsia="仿宋_GB2312"/>
                <w:szCs w:val="21"/>
              </w:rPr>
              <w:t>50万</w:t>
            </w:r>
          </w:p>
        </w:tc>
      </w:tr>
      <w:tr>
        <w:tblPrEx>
          <w:tblCellMar>
            <w:top w:w="0" w:type="dxa"/>
            <w:left w:w="108" w:type="dxa"/>
            <w:bottom w:w="0" w:type="dxa"/>
            <w:right w:w="108" w:type="dxa"/>
          </w:tblCellMar>
        </w:tblPrEx>
        <w:trPr>
          <w:trHeight w:val="4251" w:hRule="atLeast"/>
        </w:trPr>
        <w:tc>
          <w:tcPr>
            <w:tcW w:w="260" w:type="pct"/>
            <w:vMerge w:val="restart"/>
            <w:tcBorders>
              <w:top w:val="single" w:color="auto" w:sz="4" w:space="0"/>
              <w:left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凌源产业招商有限责任公司</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产业招商经理</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6</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Times New Roman" w:eastAsia="仿宋_GB2312"/>
                <w:szCs w:val="21"/>
              </w:rPr>
              <w:t>全日制大学本科及以上学历，学士及以上学位</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不限</w:t>
            </w:r>
          </w:p>
        </w:tc>
        <w:tc>
          <w:tcPr>
            <w:tcW w:w="1709" w:type="pct"/>
            <w:tcBorders>
              <w:top w:val="single" w:color="auto" w:sz="4" w:space="0"/>
              <w:left w:val="single" w:color="auto" w:sz="4" w:space="0"/>
              <w:bottom w:val="single" w:color="auto" w:sz="4" w:space="0"/>
              <w:right w:val="single" w:color="auto" w:sz="4" w:space="0"/>
            </w:tcBorders>
            <w:vAlign w:val="center"/>
          </w:tcPr>
          <w:p>
            <w:pPr>
              <w:snapToGrid w:val="0"/>
              <w:ind w:firstLine="400"/>
              <w:rPr>
                <w:rFonts w:ascii="仿宋_GB2312" w:hAnsi="仿宋" w:eastAsia="仿宋_GB2312"/>
                <w:szCs w:val="21"/>
              </w:rPr>
            </w:pPr>
            <w:r>
              <w:rPr>
                <w:rFonts w:ascii="仿宋_GB2312" w:hAnsi="仿宋" w:eastAsia="仿宋_GB2312"/>
                <w:szCs w:val="21"/>
              </w:rPr>
              <w:t>1.熟悉国家产业发展政策，具备累计3年及以上招商引资、投资促进相关领域工作经历，拥有广泛的社会资源和较好的业绩。</w:t>
            </w:r>
          </w:p>
          <w:p>
            <w:pPr>
              <w:snapToGrid w:val="0"/>
              <w:ind w:firstLine="400"/>
              <w:rPr>
                <w:rFonts w:ascii="仿宋_GB2312" w:hAnsi="仿宋" w:eastAsia="仿宋_GB2312"/>
                <w:szCs w:val="21"/>
              </w:rPr>
            </w:pPr>
            <w:r>
              <w:rPr>
                <w:rFonts w:ascii="仿宋_GB2312" w:hAnsi="仿宋" w:eastAsia="仿宋_GB2312"/>
                <w:szCs w:val="21"/>
              </w:rPr>
              <w:t>2.</w:t>
            </w:r>
            <w:r>
              <w:rPr>
                <w:rFonts w:hint="eastAsia" w:ascii="仿宋_GB2312" w:hAnsi="仿宋" w:eastAsia="仿宋_GB2312"/>
                <w:szCs w:val="21"/>
              </w:rPr>
              <w:t>具有知名金融、咨询机构管理经验者，具有开发园区等机构平台招商引资及相关项目管理经验者优先考虑。</w:t>
            </w:r>
          </w:p>
          <w:p>
            <w:pPr>
              <w:snapToGrid w:val="0"/>
              <w:ind w:firstLine="400"/>
              <w:rPr>
                <w:rFonts w:ascii="仿宋_GB2312" w:hAnsi="仿宋" w:eastAsia="仿宋_GB2312"/>
                <w:szCs w:val="21"/>
              </w:rPr>
            </w:pPr>
            <w:r>
              <w:rPr>
                <w:rFonts w:ascii="仿宋_GB2312" w:hAnsi="仿宋" w:eastAsia="仿宋_GB2312"/>
                <w:szCs w:val="21"/>
              </w:rPr>
              <w:t>3.为人正直、责任心强、吃苦耐劳，身体健康、精力充沛，能承受一定的工作压力。</w:t>
            </w:r>
          </w:p>
          <w:p>
            <w:pPr>
              <w:snapToGrid w:val="0"/>
              <w:ind w:firstLine="400"/>
              <w:rPr>
                <w:rFonts w:ascii="仿宋_GB2312" w:hAnsi="仿宋" w:eastAsia="仿宋_GB2312"/>
                <w:szCs w:val="21"/>
              </w:rPr>
            </w:pPr>
            <w:r>
              <w:rPr>
                <w:rFonts w:ascii="仿宋_GB2312" w:hAnsi="仿宋" w:eastAsia="仿宋_GB2312"/>
                <w:szCs w:val="21"/>
              </w:rPr>
              <w:t>4.年龄一般不超过40</w:t>
            </w:r>
            <w:r>
              <w:rPr>
                <w:rFonts w:hint="eastAsia" w:ascii="仿宋_GB2312" w:hAnsi="仿宋" w:eastAsia="仿宋_GB2312"/>
                <w:szCs w:val="21"/>
              </w:rPr>
              <w:t>周岁</w:t>
            </w:r>
            <w:r>
              <w:rPr>
                <w:rFonts w:ascii="仿宋_GB2312" w:hAnsi="仿宋" w:eastAsia="仿宋_GB2312"/>
                <w:szCs w:val="21"/>
              </w:rPr>
              <w:t>(1981</w:t>
            </w:r>
            <w:r>
              <w:rPr>
                <w:rFonts w:hint="eastAsia" w:ascii="仿宋_GB2312" w:hAnsi="仿宋" w:eastAsia="仿宋_GB2312"/>
                <w:szCs w:val="21"/>
              </w:rPr>
              <w:t>年</w:t>
            </w:r>
            <w:r>
              <w:rPr>
                <w:rFonts w:ascii="仿宋_GB2312" w:hAnsi="仿宋" w:eastAsia="仿宋_GB2312"/>
                <w:szCs w:val="21"/>
              </w:rPr>
              <w:t>11月18</w:t>
            </w:r>
            <w:r>
              <w:rPr>
                <w:rFonts w:hint="eastAsia" w:ascii="仿宋_GB2312" w:hAnsi="仿宋" w:eastAsia="仿宋_GB2312"/>
                <w:szCs w:val="21"/>
              </w:rPr>
              <w:t>日及以后出生</w:t>
            </w:r>
            <w:r>
              <w:rPr>
                <w:rFonts w:ascii="仿宋_GB2312" w:hAnsi="仿宋" w:eastAsia="仿宋_GB2312"/>
                <w:szCs w:val="21"/>
              </w:rPr>
              <w:t>)</w:t>
            </w:r>
            <w:r>
              <w:rPr>
                <w:rFonts w:hint="eastAsia" w:ascii="仿宋_GB2312" w:hAnsi="仿宋" w:eastAsia="仿宋_GB2312"/>
                <w:szCs w:val="21"/>
              </w:rPr>
              <w:t>。</w:t>
            </w:r>
          </w:p>
          <w:p>
            <w:pPr>
              <w:snapToGrid w:val="0"/>
              <w:ind w:firstLine="400"/>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研究生、博士生年龄可适当放宽。</w:t>
            </w:r>
          </w:p>
        </w:tc>
        <w:tc>
          <w:tcPr>
            <w:tcW w:w="1575" w:type="pct"/>
            <w:tcBorders>
              <w:top w:val="single" w:color="auto" w:sz="4" w:space="0"/>
              <w:left w:val="single" w:color="auto" w:sz="4" w:space="0"/>
              <w:bottom w:val="single" w:color="auto" w:sz="4" w:space="0"/>
              <w:right w:val="single" w:color="auto" w:sz="4" w:space="0"/>
            </w:tcBorders>
            <w:vAlign w:val="center"/>
          </w:tcPr>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1.负责区域产业招商工作，根据公司下达的各项招商任务指标，编制产业招商计划和方案，开展招商引资、招才引智工作。</w:t>
            </w:r>
          </w:p>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2.与客商进行沟通洽谈，及时掌握客商需要，了解客商状态对其投资进行分析预测。</w:t>
            </w:r>
          </w:p>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3.跟踪招商落实情况，修订招商计划或方案，带领团队完成目标。</w:t>
            </w:r>
          </w:p>
          <w:p>
            <w:pPr>
              <w:pBdr>
                <w:bottom w:val="single" w:color="auto" w:sz="6" w:space="1"/>
              </w:pBdr>
              <w:tabs>
                <w:tab w:val="center" w:pos="4153"/>
                <w:tab w:val="right" w:pos="8306"/>
              </w:tabs>
              <w:snapToGrid w:val="0"/>
              <w:ind w:firstLine="400"/>
              <w:jc w:val="center"/>
              <w:rPr>
                <w:rFonts w:ascii="仿宋_GB2312" w:hAnsi="楷体" w:eastAsia="仿宋_GB2312"/>
                <w:szCs w:val="21"/>
              </w:rPr>
            </w:pPr>
            <w:r>
              <w:rPr>
                <w:rFonts w:ascii="仿宋_GB2312" w:hAnsi="楷体" w:eastAsia="仿宋_GB2312"/>
                <w:szCs w:val="21"/>
              </w:rPr>
              <w:t>4.负责</w:t>
            </w:r>
            <w:r>
              <w:rPr>
                <w:rFonts w:hint="eastAsia" w:ascii="仿宋_GB2312" w:hAnsi="楷体" w:eastAsia="仿宋_GB2312"/>
                <w:szCs w:val="21"/>
              </w:rPr>
              <w:t>挖掘招商渠道。</w:t>
            </w:r>
          </w:p>
          <w:p>
            <w:pPr>
              <w:snapToGrid w:val="0"/>
              <w:ind w:firstLine="400"/>
              <w:rPr>
                <w:rFonts w:ascii="仿宋_GB2312" w:hAnsi="楷体" w:eastAsia="仿宋_GB2312"/>
                <w:szCs w:val="21"/>
              </w:rPr>
            </w:pPr>
            <w:r>
              <w:rPr>
                <w:rFonts w:ascii="仿宋_GB2312" w:hAnsi="楷体" w:eastAsia="仿宋_GB2312"/>
                <w:szCs w:val="21"/>
              </w:rPr>
              <w:t>5.负责主持参与项目洽谈、签约、落地、服务等工作。</w:t>
            </w:r>
          </w:p>
          <w:p>
            <w:pPr>
              <w:snapToGrid w:val="0"/>
              <w:ind w:firstLine="400"/>
            </w:pPr>
            <w:r>
              <w:rPr>
                <w:rFonts w:ascii="仿宋_GB2312" w:hAnsi="楷体" w:eastAsia="仿宋_GB2312"/>
                <w:szCs w:val="21"/>
              </w:rPr>
              <w:t>6.配合总经理完成各项工作和公司交办的其他工作。</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楷体" w:eastAsia="仿宋_GB2312"/>
                <w:szCs w:val="21"/>
              </w:rPr>
            </w:pPr>
            <w:r>
              <w:rPr>
                <w:rFonts w:hint="eastAsia" w:ascii="仿宋_GB2312" w:hAnsi="楷体" w:eastAsia="仿宋_GB2312"/>
                <w:szCs w:val="21"/>
              </w:rPr>
              <w:t>税前年薪</w:t>
            </w:r>
          </w:p>
          <w:p>
            <w:pPr>
              <w:adjustRightInd w:val="0"/>
              <w:snapToGrid w:val="0"/>
              <w:jc w:val="center"/>
              <w:rPr>
                <w:rFonts w:ascii="仿宋_GB2312" w:hAnsi="楷体" w:eastAsia="仿宋_GB2312"/>
                <w:szCs w:val="21"/>
              </w:rPr>
            </w:pPr>
            <w:r>
              <w:rPr>
                <w:rFonts w:ascii="仿宋_GB2312" w:hAnsi="楷体" w:eastAsia="仿宋_GB2312"/>
                <w:szCs w:val="21"/>
              </w:rPr>
              <w:t>35</w:t>
            </w:r>
            <w:r>
              <w:rPr>
                <w:rFonts w:hint="eastAsia" w:ascii="仿宋_GB2312" w:hAnsi="楷体" w:eastAsia="仿宋_GB2312"/>
                <w:szCs w:val="21"/>
              </w:rPr>
              <w:t>万</w:t>
            </w:r>
          </w:p>
        </w:tc>
      </w:tr>
      <w:tr>
        <w:tblPrEx>
          <w:tblCellMar>
            <w:top w:w="0" w:type="dxa"/>
            <w:left w:w="108" w:type="dxa"/>
            <w:bottom w:w="0" w:type="dxa"/>
            <w:right w:w="108" w:type="dxa"/>
          </w:tblCellMar>
        </w:tblPrEx>
        <w:trPr>
          <w:trHeight w:val="3784" w:hRule="atLeast"/>
        </w:trPr>
        <w:tc>
          <w:tcPr>
            <w:tcW w:w="260" w:type="pct"/>
            <w:vMerge w:val="continue"/>
            <w:tcBorders>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产业招商助理</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6</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仿宋" w:eastAsia="仿宋_GB2312"/>
                <w:szCs w:val="21"/>
              </w:rPr>
              <w:t>全日制大学本科及以上学历，学士及以上学位</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不限</w:t>
            </w:r>
          </w:p>
        </w:tc>
        <w:tc>
          <w:tcPr>
            <w:tcW w:w="4947" w:type="dxa"/>
            <w:tcBorders>
              <w:top w:val="single" w:color="auto" w:sz="4" w:space="0"/>
              <w:left w:val="single" w:color="auto" w:sz="4" w:space="0"/>
              <w:bottom w:val="single" w:color="auto" w:sz="4" w:space="0"/>
              <w:right w:val="single" w:color="auto" w:sz="4" w:space="0"/>
            </w:tcBorders>
            <w:vAlign w:val="center"/>
          </w:tcPr>
          <w:p>
            <w:pPr>
              <w:ind w:firstLine="400"/>
              <w:rPr>
                <w:rFonts w:ascii="仿宋_GB2312" w:hAnsi="仿宋" w:eastAsia="仿宋_GB2312"/>
                <w:szCs w:val="21"/>
              </w:rPr>
            </w:pPr>
            <w:r>
              <w:rPr>
                <w:rFonts w:ascii="仿宋_GB2312" w:hAnsi="仿宋" w:eastAsia="仿宋_GB2312"/>
                <w:szCs w:val="21"/>
              </w:rPr>
              <w:t>1.具备累计2</w:t>
            </w:r>
            <w:r>
              <w:rPr>
                <w:rFonts w:hint="eastAsia" w:ascii="仿宋_GB2312" w:hAnsi="仿宋" w:eastAsia="仿宋_GB2312"/>
                <w:szCs w:val="21"/>
              </w:rPr>
              <w:t>年及以上招商引资、投资促进相关领域工作经历，拥有比较广泛的社会资源和较好的业绩。</w:t>
            </w:r>
          </w:p>
          <w:p>
            <w:pPr>
              <w:snapToGrid w:val="0"/>
              <w:ind w:firstLine="400"/>
              <w:rPr>
                <w:rFonts w:ascii="仿宋_GB2312" w:hAnsi="仿宋" w:eastAsia="仿宋_GB2312"/>
                <w:szCs w:val="21"/>
              </w:rPr>
            </w:pPr>
            <w:r>
              <w:rPr>
                <w:rFonts w:ascii="仿宋_GB2312" w:hAnsi="仿宋" w:eastAsia="仿宋_GB2312"/>
                <w:szCs w:val="21"/>
              </w:rPr>
              <w:t>2.能够掌握基本的统计方法；</w:t>
            </w:r>
            <w:r>
              <w:rPr>
                <w:rFonts w:hint="eastAsia" w:ascii="仿宋_GB2312" w:hAnsi="仿宋" w:eastAsia="仿宋_GB2312"/>
                <w:szCs w:val="21"/>
              </w:rPr>
              <w:t>熟练使用</w:t>
            </w:r>
            <w:r>
              <w:rPr>
                <w:rFonts w:ascii="仿宋_GB2312" w:hAnsi="仿宋" w:eastAsia="仿宋_GB2312"/>
                <w:szCs w:val="21"/>
              </w:rPr>
              <w:t>office办公软件，</w:t>
            </w:r>
            <w:r>
              <w:rPr>
                <w:rFonts w:hint="eastAsia" w:ascii="仿宋_GB2312" w:hAnsi="仿宋" w:eastAsia="仿宋_GB2312"/>
                <w:szCs w:val="21"/>
              </w:rPr>
              <w:t>能独立编制各类统计报表；</w:t>
            </w:r>
          </w:p>
          <w:p>
            <w:pPr>
              <w:snapToGrid w:val="0"/>
              <w:ind w:firstLine="400"/>
              <w:rPr>
                <w:rFonts w:ascii="仿宋_GB2312" w:hAnsi="仿宋" w:eastAsia="仿宋_GB2312"/>
                <w:szCs w:val="21"/>
              </w:rPr>
            </w:pPr>
            <w:r>
              <w:rPr>
                <w:rFonts w:ascii="仿宋_GB2312" w:hAnsi="仿宋" w:eastAsia="仿宋_GB2312"/>
                <w:szCs w:val="21"/>
              </w:rPr>
              <w:t>3.</w:t>
            </w:r>
            <w:r>
              <w:rPr>
                <w:rFonts w:hint="eastAsia" w:ascii="仿宋_GB2312" w:hAnsi="仿宋" w:eastAsia="仿宋_GB2312"/>
                <w:szCs w:val="21"/>
              </w:rPr>
              <w:t>具有较强的协调、沟通能力；有较强的文字水平和表达能力，熟练掌握一门外语并能运用于商务场合的优先。</w:t>
            </w:r>
          </w:p>
          <w:p>
            <w:pPr>
              <w:snapToGrid w:val="0"/>
              <w:ind w:firstLine="400"/>
              <w:rPr>
                <w:rFonts w:ascii="仿宋_GB2312" w:hAnsi="仿宋" w:eastAsia="仿宋_GB2312"/>
                <w:szCs w:val="21"/>
              </w:rPr>
            </w:pPr>
            <w:r>
              <w:rPr>
                <w:rFonts w:ascii="仿宋_GB2312" w:hAnsi="仿宋" w:eastAsia="仿宋_GB2312"/>
                <w:szCs w:val="21"/>
              </w:rPr>
              <w:t>4.年龄不超过40周岁(1981</w:t>
            </w:r>
            <w:r>
              <w:rPr>
                <w:rFonts w:hint="eastAsia" w:ascii="仿宋_GB2312" w:hAnsi="仿宋" w:eastAsia="仿宋_GB2312"/>
                <w:szCs w:val="21"/>
              </w:rPr>
              <w:t>年</w:t>
            </w:r>
            <w:r>
              <w:rPr>
                <w:rFonts w:ascii="仿宋_GB2312" w:hAnsi="仿宋" w:eastAsia="仿宋_GB2312"/>
                <w:szCs w:val="21"/>
              </w:rPr>
              <w:t>11月18</w:t>
            </w:r>
            <w:r>
              <w:rPr>
                <w:rFonts w:hint="eastAsia" w:ascii="仿宋_GB2312" w:hAnsi="仿宋" w:eastAsia="仿宋_GB2312"/>
                <w:szCs w:val="21"/>
              </w:rPr>
              <w:t>日及以后出生</w:t>
            </w:r>
            <w:r>
              <w:rPr>
                <w:rFonts w:ascii="仿宋_GB2312" w:hAnsi="仿宋" w:eastAsia="仿宋_GB2312"/>
                <w:szCs w:val="21"/>
              </w:rPr>
              <w:t>)</w:t>
            </w:r>
            <w:r>
              <w:rPr>
                <w:rFonts w:hint="eastAsia" w:ascii="仿宋_GB2312" w:hAnsi="仿宋" w:eastAsia="仿宋_GB2312"/>
                <w:szCs w:val="21"/>
              </w:rPr>
              <w:t>。</w:t>
            </w:r>
          </w:p>
          <w:p>
            <w:pPr>
              <w:pBdr>
                <w:bottom w:val="single" w:color="auto" w:sz="6" w:space="1"/>
              </w:pBdr>
              <w:tabs>
                <w:tab w:val="center" w:pos="4153"/>
                <w:tab w:val="right" w:pos="8306"/>
              </w:tabs>
              <w:snapToGrid w:val="0"/>
              <w:ind w:firstLine="400"/>
              <w:jc w:val="center"/>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研究生、博士生年龄可适当放宽。</w:t>
            </w:r>
          </w:p>
        </w:tc>
        <w:tc>
          <w:tcPr>
            <w:tcW w:w="4559" w:type="dxa"/>
            <w:tcBorders>
              <w:top w:val="single" w:color="auto" w:sz="4" w:space="0"/>
              <w:left w:val="single" w:color="auto" w:sz="4" w:space="0"/>
              <w:bottom w:val="single" w:color="auto" w:sz="4" w:space="0"/>
              <w:right w:val="single" w:color="auto" w:sz="4" w:space="0"/>
            </w:tcBorders>
            <w:vAlign w:val="center"/>
          </w:tcPr>
          <w:p>
            <w:pPr>
              <w:snapToGrid w:val="0"/>
              <w:ind w:firstLine="400"/>
              <w:rPr>
                <w:rFonts w:ascii="仿宋_GB2312" w:hAnsi="仿宋" w:eastAsia="仿宋_GB2312"/>
                <w:szCs w:val="21"/>
              </w:rPr>
            </w:pPr>
            <w:r>
              <w:rPr>
                <w:rFonts w:ascii="仿宋_GB2312" w:hAnsi="仿宋" w:eastAsia="仿宋_GB2312"/>
                <w:szCs w:val="21"/>
              </w:rPr>
              <w:t>1.负责配合招商经理开展专业化招商、驻点招商，负责引进符合产业发展方向和发展要求的国内外资金和项目，完成公司下达的各项招商指标和任务。</w:t>
            </w:r>
          </w:p>
          <w:p>
            <w:pPr>
              <w:snapToGrid w:val="0"/>
              <w:ind w:firstLine="400"/>
              <w:rPr>
                <w:rFonts w:ascii="仿宋_GB2312" w:hAnsi="仿宋" w:eastAsia="仿宋_GB2312"/>
                <w:szCs w:val="21"/>
              </w:rPr>
            </w:pPr>
            <w:r>
              <w:rPr>
                <w:rFonts w:ascii="仿宋_GB2312" w:hAnsi="仿宋" w:eastAsia="仿宋_GB2312"/>
                <w:szCs w:val="21"/>
              </w:rPr>
              <w:t>2.负责搜集投资信息，并做好与意向项目的洽谈及跟踪工作。</w:t>
            </w:r>
          </w:p>
          <w:p>
            <w:pPr>
              <w:snapToGrid w:val="0"/>
              <w:ind w:firstLine="400"/>
              <w:rPr>
                <w:rFonts w:ascii="仿宋_GB2312" w:hAnsi="仿宋" w:eastAsia="仿宋_GB2312"/>
                <w:szCs w:val="21"/>
              </w:rPr>
            </w:pPr>
            <w:r>
              <w:rPr>
                <w:rFonts w:ascii="仿宋_GB2312" w:hAnsi="仿宋" w:eastAsia="仿宋_GB2312"/>
                <w:szCs w:val="21"/>
              </w:rPr>
              <w:t>3.负责配合招商经理做好投资项目服务维护工作。</w:t>
            </w:r>
          </w:p>
          <w:p>
            <w:pPr>
              <w:snapToGrid w:val="0"/>
              <w:ind w:firstLine="400"/>
              <w:rPr>
                <w:rFonts w:ascii="仿宋_GB2312" w:hAnsi="楷体" w:eastAsia="仿宋_GB2312"/>
                <w:szCs w:val="21"/>
              </w:rPr>
            </w:pPr>
            <w:r>
              <w:rPr>
                <w:rFonts w:ascii="仿宋_GB2312" w:hAnsi="仿宋" w:eastAsia="仿宋_GB2312"/>
                <w:szCs w:val="21"/>
              </w:rPr>
              <w:t>4.负责领导交办的其他工作。</w:t>
            </w:r>
          </w:p>
        </w:tc>
        <w:tc>
          <w:tcPr>
            <w:tcW w:w="40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税前年薪</w:t>
            </w:r>
          </w:p>
          <w:p>
            <w:pPr>
              <w:adjustRightInd w:val="0"/>
              <w:snapToGrid w:val="0"/>
              <w:jc w:val="center"/>
              <w:rPr>
                <w:rFonts w:ascii="仿宋_GB2312" w:hAnsi="仿宋" w:eastAsia="仿宋_GB2312"/>
                <w:szCs w:val="21"/>
              </w:rPr>
            </w:pPr>
            <w:r>
              <w:rPr>
                <w:rFonts w:ascii="仿宋_GB2312" w:hAnsi="仿宋" w:eastAsia="仿宋_GB2312"/>
                <w:szCs w:val="21"/>
              </w:rPr>
              <w:t>25万</w:t>
            </w:r>
          </w:p>
        </w:tc>
      </w:tr>
      <w:tr>
        <w:tblPrEx>
          <w:tblCellMar>
            <w:top w:w="0" w:type="dxa"/>
            <w:left w:w="108" w:type="dxa"/>
            <w:bottom w:w="0" w:type="dxa"/>
            <w:right w:w="108" w:type="dxa"/>
          </w:tblCellMar>
        </w:tblPrEx>
        <w:trPr>
          <w:trHeight w:val="4164" w:hRule="atLeast"/>
        </w:trPr>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凌源产业招商有限责任公司</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产业招商专员</w:t>
            </w:r>
          </w:p>
        </w:tc>
        <w:tc>
          <w:tcPr>
            <w:tcW w:w="2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6</w:t>
            </w:r>
          </w:p>
        </w:tc>
        <w:tc>
          <w:tcPr>
            <w:tcW w:w="307" w:type="pct"/>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仿宋" w:eastAsia="仿宋_GB2312"/>
                <w:szCs w:val="21"/>
              </w:rPr>
              <w:t>全日制大学本科及以上学历，学士及以上学位</w:t>
            </w:r>
          </w:p>
        </w:tc>
        <w:tc>
          <w:tcPr>
            <w:tcW w:w="26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仿宋" w:eastAsia="仿宋_GB2312"/>
                <w:szCs w:val="21"/>
              </w:rPr>
              <w:t>不限</w:t>
            </w:r>
          </w:p>
        </w:tc>
        <w:tc>
          <w:tcPr>
            <w:tcW w:w="1709" w:type="pct"/>
            <w:tcBorders>
              <w:top w:val="single" w:color="auto" w:sz="4" w:space="0"/>
              <w:left w:val="single" w:color="auto" w:sz="4" w:space="0"/>
              <w:bottom w:val="single" w:color="auto" w:sz="4" w:space="0"/>
              <w:right w:val="single" w:color="auto" w:sz="4" w:space="0"/>
            </w:tcBorders>
            <w:vAlign w:val="center"/>
          </w:tcPr>
          <w:p>
            <w:pPr>
              <w:ind w:firstLine="400"/>
              <w:rPr>
                <w:rFonts w:ascii="仿宋_GB2312" w:hAnsi="仿宋" w:eastAsia="仿宋_GB2312"/>
                <w:color w:val="000000" w:themeColor="text1"/>
                <w:szCs w:val="21"/>
              </w:rPr>
            </w:pPr>
            <w:r>
              <w:rPr>
                <w:rFonts w:hint="eastAsia" w:ascii="仿宋_GB2312" w:hAnsi="仿宋" w:eastAsia="仿宋_GB2312"/>
                <w:color w:val="000000" w:themeColor="text1"/>
                <w:szCs w:val="21"/>
              </w:rPr>
              <w:t>1.具备累计</w:t>
            </w:r>
            <w:r>
              <w:rPr>
                <w:rFonts w:ascii="仿宋_GB2312" w:hAnsi="仿宋" w:eastAsia="仿宋_GB2312"/>
                <w:color w:val="000000" w:themeColor="text1"/>
                <w:szCs w:val="21"/>
              </w:rPr>
              <w:t>1</w:t>
            </w:r>
            <w:r>
              <w:rPr>
                <w:rFonts w:hint="eastAsia" w:ascii="仿宋_GB2312" w:hAnsi="仿宋" w:eastAsia="仿宋_GB2312"/>
                <w:color w:val="000000" w:themeColor="text1"/>
                <w:szCs w:val="21"/>
              </w:rPr>
              <w:t>年及以上招商引资、投资促进相关领域工作经历，拥有比较广泛的社会资源和较好的业绩。</w:t>
            </w:r>
          </w:p>
          <w:p>
            <w:pPr>
              <w:ind w:firstLine="400"/>
              <w:rPr>
                <w:rFonts w:ascii="仿宋_GB2312" w:hAnsi="仿宋" w:eastAsia="仿宋_GB2312"/>
                <w:color w:val="000000" w:themeColor="text1"/>
                <w:szCs w:val="21"/>
              </w:rPr>
            </w:pPr>
            <w:r>
              <w:rPr>
                <w:rFonts w:hint="eastAsia" w:ascii="仿宋_GB2312" w:hAnsi="仿宋" w:eastAsia="仿宋_GB2312"/>
                <w:color w:val="000000" w:themeColor="text1"/>
                <w:szCs w:val="21"/>
              </w:rPr>
              <w:t>2.具有良好的语言表达和人际沟通能力，对招商工作充满激情和热情。</w:t>
            </w:r>
          </w:p>
          <w:p>
            <w:pPr>
              <w:ind w:firstLine="400"/>
              <w:rPr>
                <w:rFonts w:ascii="仿宋_GB2312" w:hAnsi="仿宋" w:eastAsia="仿宋_GB2312"/>
                <w:color w:val="000000" w:themeColor="text1"/>
                <w:szCs w:val="21"/>
              </w:rPr>
            </w:pPr>
            <w:r>
              <w:rPr>
                <w:rFonts w:hint="eastAsia" w:ascii="仿宋_GB2312" w:hAnsi="仿宋" w:eastAsia="仿宋_GB2312"/>
                <w:color w:val="000000" w:themeColor="text1"/>
                <w:szCs w:val="21"/>
              </w:rPr>
              <w:t>3.擅长办公软件应用和材料信息收集整理。</w:t>
            </w:r>
          </w:p>
          <w:p>
            <w:pPr>
              <w:pBdr>
                <w:bottom w:val="single" w:color="auto" w:sz="6" w:space="1"/>
              </w:pBdr>
              <w:tabs>
                <w:tab w:val="center" w:pos="4153"/>
                <w:tab w:val="right" w:pos="8306"/>
              </w:tabs>
              <w:snapToGrid w:val="0"/>
              <w:ind w:firstLine="400"/>
              <w:jc w:val="center"/>
              <w:rPr>
                <w:rFonts w:ascii="仿宋_GB2312" w:hAnsi="仿宋" w:eastAsia="仿宋_GB2312"/>
                <w:szCs w:val="21"/>
              </w:rPr>
            </w:pPr>
            <w:r>
              <w:rPr>
                <w:rFonts w:ascii="仿宋_GB2312" w:hAnsi="仿宋" w:eastAsia="仿宋_GB2312"/>
                <w:szCs w:val="21"/>
              </w:rPr>
              <w:t>4.年龄不超过35</w:t>
            </w:r>
            <w:r>
              <w:rPr>
                <w:rFonts w:hint="eastAsia" w:ascii="仿宋_GB2312" w:hAnsi="仿宋" w:eastAsia="仿宋_GB2312"/>
                <w:szCs w:val="21"/>
              </w:rPr>
              <w:t>周岁</w:t>
            </w:r>
            <w:r>
              <w:rPr>
                <w:rFonts w:ascii="仿宋_GB2312" w:hAnsi="仿宋" w:eastAsia="仿宋_GB2312"/>
                <w:szCs w:val="21"/>
              </w:rPr>
              <w:t>(1986</w:t>
            </w:r>
            <w:r>
              <w:rPr>
                <w:rFonts w:hint="eastAsia" w:ascii="仿宋_GB2312" w:hAnsi="仿宋" w:eastAsia="仿宋_GB2312"/>
                <w:szCs w:val="21"/>
              </w:rPr>
              <w:t>年</w:t>
            </w:r>
            <w:r>
              <w:rPr>
                <w:rFonts w:ascii="仿宋_GB2312" w:hAnsi="仿宋" w:eastAsia="仿宋_GB2312"/>
                <w:szCs w:val="21"/>
              </w:rPr>
              <w:t>11月18</w:t>
            </w:r>
            <w:r>
              <w:rPr>
                <w:rFonts w:hint="eastAsia" w:ascii="仿宋_GB2312" w:hAnsi="仿宋" w:eastAsia="仿宋_GB2312"/>
                <w:szCs w:val="21"/>
              </w:rPr>
              <w:t>日及以后出生</w:t>
            </w:r>
            <w:r>
              <w:rPr>
                <w:rFonts w:ascii="仿宋_GB2312" w:hAnsi="仿宋" w:eastAsia="仿宋_GB2312"/>
                <w:szCs w:val="21"/>
              </w:rPr>
              <w:t>)</w:t>
            </w:r>
            <w:r>
              <w:rPr>
                <w:rFonts w:hint="eastAsia" w:ascii="仿宋_GB2312" w:hAnsi="仿宋" w:eastAsia="仿宋_GB2312"/>
                <w:szCs w:val="21"/>
              </w:rPr>
              <w:t>。</w:t>
            </w:r>
          </w:p>
          <w:p>
            <w:pPr>
              <w:pBdr>
                <w:bottom w:val="single" w:color="auto" w:sz="6" w:space="1"/>
              </w:pBdr>
              <w:tabs>
                <w:tab w:val="center" w:pos="4153"/>
                <w:tab w:val="right" w:pos="8306"/>
              </w:tabs>
              <w:snapToGrid w:val="0"/>
              <w:ind w:firstLine="400"/>
              <w:jc w:val="center"/>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研究生、博士生年龄可适当放宽。</w:t>
            </w:r>
          </w:p>
        </w:tc>
        <w:tc>
          <w:tcPr>
            <w:tcW w:w="1575" w:type="pct"/>
            <w:tcBorders>
              <w:top w:val="single" w:color="auto" w:sz="4" w:space="0"/>
              <w:left w:val="single" w:color="auto" w:sz="4" w:space="0"/>
              <w:bottom w:val="single" w:color="auto" w:sz="4" w:space="0"/>
              <w:right w:val="single" w:color="auto" w:sz="4" w:space="0"/>
            </w:tcBorders>
            <w:vAlign w:val="center"/>
          </w:tcPr>
          <w:p>
            <w:pPr>
              <w:ind w:firstLine="400"/>
              <w:rPr>
                <w:rFonts w:ascii="仿宋_GB2312" w:hAnsi="仿宋" w:eastAsia="仿宋_GB2312"/>
                <w:color w:val="000000" w:themeColor="text1"/>
                <w:szCs w:val="21"/>
              </w:rPr>
            </w:pPr>
            <w:r>
              <w:rPr>
                <w:rFonts w:hint="eastAsia" w:ascii="仿宋_GB2312" w:hAnsi="仿宋" w:eastAsia="仿宋_GB2312"/>
                <w:color w:val="000000" w:themeColor="text1"/>
                <w:szCs w:val="21"/>
              </w:rPr>
              <w:t>1.负责配合招商经理和招商助理完成公司下达的各项招商指标和任务。</w:t>
            </w:r>
          </w:p>
          <w:p>
            <w:pPr>
              <w:snapToGrid w:val="0"/>
              <w:ind w:firstLine="400"/>
              <w:rPr>
                <w:rFonts w:ascii="仿宋_GB2312" w:hAnsi="仿宋" w:eastAsia="仿宋_GB2312"/>
                <w:szCs w:val="21"/>
              </w:rPr>
            </w:pPr>
            <w:r>
              <w:rPr>
                <w:rFonts w:ascii="仿宋_GB2312" w:hAnsi="仿宋" w:eastAsia="仿宋_GB2312"/>
                <w:szCs w:val="21"/>
              </w:rPr>
              <w:t>2.负责搜集投资信息，</w:t>
            </w:r>
            <w:r>
              <w:rPr>
                <w:rFonts w:hint="eastAsia" w:ascii="仿宋_GB2312" w:hAnsi="楷体" w:eastAsia="仿宋_GB2312"/>
                <w:szCs w:val="21"/>
              </w:rPr>
              <w:t>招商信息的收集、整理、筛选和发布</w:t>
            </w:r>
            <w:r>
              <w:rPr>
                <w:rFonts w:hint="eastAsia" w:ascii="仿宋_GB2312" w:hAnsi="仿宋" w:eastAsia="仿宋_GB2312"/>
                <w:szCs w:val="21"/>
              </w:rPr>
              <w:t>，并做好与意向项目的洽谈及跟踪工作。</w:t>
            </w:r>
          </w:p>
          <w:p>
            <w:pPr>
              <w:snapToGrid w:val="0"/>
              <w:ind w:firstLine="400"/>
              <w:rPr>
                <w:rFonts w:ascii="仿宋_GB2312" w:hAnsi="仿宋" w:eastAsia="仿宋_GB2312"/>
                <w:szCs w:val="21"/>
              </w:rPr>
            </w:pPr>
            <w:r>
              <w:rPr>
                <w:rFonts w:ascii="仿宋_GB2312" w:hAnsi="仿宋" w:eastAsia="仿宋_GB2312"/>
                <w:szCs w:val="21"/>
              </w:rPr>
              <w:t>3.</w:t>
            </w:r>
            <w:r>
              <w:rPr>
                <w:rFonts w:hint="eastAsia" w:ascii="仿宋_GB2312" w:hAnsi="仿宋" w:eastAsia="仿宋_GB2312"/>
                <w:color w:val="000000" w:themeColor="text1"/>
                <w:szCs w:val="21"/>
              </w:rPr>
              <w:t>负责配合招商经理、招商助理做好投资项目服务维护工作。</w:t>
            </w:r>
          </w:p>
          <w:p>
            <w:pPr>
              <w:snapToGrid w:val="0"/>
              <w:ind w:firstLine="400"/>
              <w:rPr>
                <w:rFonts w:ascii="仿宋_GB2312" w:hAnsi="楷体" w:eastAsia="仿宋_GB2312"/>
                <w:szCs w:val="21"/>
              </w:rPr>
            </w:pPr>
            <w:r>
              <w:rPr>
                <w:rFonts w:ascii="仿宋_GB2312" w:hAnsi="仿宋" w:eastAsia="仿宋_GB2312"/>
                <w:szCs w:val="21"/>
              </w:rPr>
              <w:t>4.负责领导交办的其他工作。</w:t>
            </w:r>
          </w:p>
        </w:tc>
        <w:tc>
          <w:tcPr>
            <w:tcW w:w="40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税前年薪</w:t>
            </w:r>
          </w:p>
          <w:p>
            <w:pPr>
              <w:adjustRightInd w:val="0"/>
              <w:snapToGrid w:val="0"/>
              <w:jc w:val="center"/>
              <w:rPr>
                <w:rFonts w:ascii="仿宋_GB2312" w:hAnsi="楷体" w:eastAsia="仿宋_GB2312"/>
                <w:szCs w:val="21"/>
              </w:rPr>
            </w:pPr>
            <w:r>
              <w:rPr>
                <w:rFonts w:ascii="仿宋_GB2312" w:hAnsi="仿宋" w:eastAsia="仿宋_GB2312"/>
                <w:szCs w:val="21"/>
              </w:rPr>
              <w:t>15</w:t>
            </w:r>
            <w:r>
              <w:rPr>
                <w:rFonts w:hint="eastAsia" w:ascii="仿宋_GB2312" w:hAnsi="仿宋" w:eastAsia="仿宋_GB2312"/>
                <w:szCs w:val="21"/>
              </w:rPr>
              <w:t>万</w:t>
            </w:r>
          </w:p>
        </w:tc>
      </w:tr>
    </w:tbl>
    <w:p/>
    <w:p>
      <w:pPr>
        <w:pStyle w:val="2"/>
        <w:ind w:firstLine="643"/>
        <w:rPr>
          <w:b/>
          <w:color w:val="FF000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95C32"/>
    <w:rsid w:val="00101174"/>
    <w:rsid w:val="001713C0"/>
    <w:rsid w:val="001E38B7"/>
    <w:rsid w:val="003C1E5C"/>
    <w:rsid w:val="003C6F5F"/>
    <w:rsid w:val="003F1011"/>
    <w:rsid w:val="003F47E5"/>
    <w:rsid w:val="00495D49"/>
    <w:rsid w:val="00501D89"/>
    <w:rsid w:val="0061317C"/>
    <w:rsid w:val="006D363B"/>
    <w:rsid w:val="006E19E4"/>
    <w:rsid w:val="00713CC4"/>
    <w:rsid w:val="008425E3"/>
    <w:rsid w:val="0098178C"/>
    <w:rsid w:val="0099601C"/>
    <w:rsid w:val="00A62BDB"/>
    <w:rsid w:val="00AF3D84"/>
    <w:rsid w:val="00BB4B9D"/>
    <w:rsid w:val="00C46922"/>
    <w:rsid w:val="00CA2B3A"/>
    <w:rsid w:val="00DD6735"/>
    <w:rsid w:val="00E83E10"/>
    <w:rsid w:val="00FC4017"/>
    <w:rsid w:val="00FD569F"/>
    <w:rsid w:val="050409B8"/>
    <w:rsid w:val="0DCC63DE"/>
    <w:rsid w:val="2BDD19ED"/>
    <w:rsid w:val="2FCD687E"/>
    <w:rsid w:val="2FDF9F6B"/>
    <w:rsid w:val="333F7B0F"/>
    <w:rsid w:val="39CDEBBA"/>
    <w:rsid w:val="3BDE30A4"/>
    <w:rsid w:val="3BEF569C"/>
    <w:rsid w:val="3F9E4869"/>
    <w:rsid w:val="3FCDD1B6"/>
    <w:rsid w:val="59BB3688"/>
    <w:rsid w:val="59FB8815"/>
    <w:rsid w:val="5FDF1F00"/>
    <w:rsid w:val="6CF5D358"/>
    <w:rsid w:val="6DD56224"/>
    <w:rsid w:val="6F77AF9F"/>
    <w:rsid w:val="7BED0571"/>
    <w:rsid w:val="7D9FC712"/>
    <w:rsid w:val="7DF58B35"/>
    <w:rsid w:val="7DF95C32"/>
    <w:rsid w:val="931E9E9A"/>
    <w:rsid w:val="9EECD87B"/>
    <w:rsid w:val="9FED267C"/>
    <w:rsid w:val="9FFF51E9"/>
    <w:rsid w:val="A9BBD3EA"/>
    <w:rsid w:val="AB7B08AD"/>
    <w:rsid w:val="B95F65D1"/>
    <w:rsid w:val="BBBF1F19"/>
    <w:rsid w:val="BBFF3C73"/>
    <w:rsid w:val="BFEE1A64"/>
    <w:rsid w:val="CFFF00FC"/>
    <w:rsid w:val="D49E9369"/>
    <w:rsid w:val="D5F79659"/>
    <w:rsid w:val="D7B70253"/>
    <w:rsid w:val="DAB3B0A2"/>
    <w:rsid w:val="DF3E43CB"/>
    <w:rsid w:val="DF7F6665"/>
    <w:rsid w:val="E5CA25A2"/>
    <w:rsid w:val="E69D5759"/>
    <w:rsid w:val="EC9DE2A1"/>
    <w:rsid w:val="F7F5B9CA"/>
    <w:rsid w:val="FBFF1E62"/>
    <w:rsid w:val="FD7FAB26"/>
    <w:rsid w:val="FEBBACC9"/>
    <w:rsid w:val="FF7FC52B"/>
    <w:rsid w:val="FFB59669"/>
    <w:rsid w:val="FFFD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alloon Text"/>
    <w:basedOn w:val="1"/>
    <w:link w:val="12"/>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268</Words>
  <Characters>1531</Characters>
  <Lines>12</Lines>
  <Paragraphs>3</Paragraphs>
  <TotalTime>4</TotalTime>
  <ScaleCrop>false</ScaleCrop>
  <LinksUpToDate>false</LinksUpToDate>
  <CharactersWithSpaces>1796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2021-11-11T02:15:00Z</dcterms:created>
  <dc:creator>DELL</dc:creator>
  <cp:lastModifiedBy></cp:lastModifiedBy>
  <dcterms:modified xsi:type="dcterms:W3CDTF">2021-11-15T08:30:26Z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AE9BBCE7DDC4422183CC495E5BD1A533</vt:lpwstr>
  </property>
</Properties>
</file>