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ind w:firstLine="420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中国数字经济先锋案例征集启示</w:t>
      </w:r>
    </w:p>
    <w:bookmarkEnd w:id="0"/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申报主体：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各地园区、开发区，各类企业，科研机构、团队和个人，可遵循自主、自愿原则，采取组织报送、专家推荐、自主申报、定向邀请等形式进行申报。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申报要求：</w:t>
      </w:r>
    </w:p>
    <w:p>
      <w:pPr>
        <w:pStyle w:val="5"/>
        <w:numPr>
          <w:ilvl w:val="0"/>
          <w:numId w:val="2"/>
        </w:numPr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申报案例需具有真实性、创新性、显效性、可复制性和示范推广性等特点。</w:t>
      </w:r>
    </w:p>
    <w:p>
      <w:pPr>
        <w:pStyle w:val="5"/>
        <w:numPr>
          <w:ilvl w:val="0"/>
          <w:numId w:val="2"/>
        </w:numPr>
        <w:ind w:left="0"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案例文本应具备以下要素：背景与起因、做法与经过、成效与反响、经验与启示、探讨与评论、重点资料附录。推荐按以下顺序撰写申报文档。</w:t>
      </w:r>
    </w:p>
    <w:p>
      <w:pPr>
        <w:pStyle w:val="5"/>
        <w:numPr>
          <w:ilvl w:val="0"/>
          <w:numId w:val="3"/>
        </w:numPr>
        <w:ind w:firstLine="153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申报单位简介与案例名称；</w:t>
      </w:r>
    </w:p>
    <w:p>
      <w:pPr>
        <w:pStyle w:val="5"/>
        <w:numPr>
          <w:ilvl w:val="0"/>
          <w:numId w:val="3"/>
        </w:numPr>
        <w:ind w:firstLine="153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案例背景、基本情况、目标及最后结果的概述；</w:t>
      </w:r>
    </w:p>
    <w:p>
      <w:pPr>
        <w:pStyle w:val="5"/>
        <w:numPr>
          <w:ilvl w:val="0"/>
          <w:numId w:val="3"/>
        </w:numPr>
        <w:ind w:firstLine="153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主要方法做法的描述；</w:t>
      </w:r>
    </w:p>
    <w:p>
      <w:pPr>
        <w:pStyle w:val="5"/>
        <w:numPr>
          <w:ilvl w:val="0"/>
          <w:numId w:val="3"/>
        </w:numPr>
        <w:ind w:firstLine="153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主要成效和成果的描述；</w:t>
      </w:r>
    </w:p>
    <w:p>
      <w:pPr>
        <w:pStyle w:val="5"/>
        <w:numPr>
          <w:ilvl w:val="0"/>
          <w:numId w:val="3"/>
        </w:numPr>
        <w:ind w:firstLine="153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经验启示与主要意义的描述；</w:t>
      </w:r>
    </w:p>
    <w:p>
      <w:pPr>
        <w:pStyle w:val="5"/>
        <w:numPr>
          <w:ilvl w:val="0"/>
          <w:numId w:val="4"/>
        </w:numPr>
        <w:ind w:left="993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为便于准确清晰地了解相关情况，请将案例做法与取得成效分开撰写。</w:t>
      </w:r>
    </w:p>
    <w:p>
      <w:pPr>
        <w:pStyle w:val="5"/>
        <w:numPr>
          <w:ilvl w:val="0"/>
          <w:numId w:val="4"/>
        </w:numPr>
        <w:ind w:left="993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每个案例只能选择一种征集方向提报。</w:t>
      </w:r>
    </w:p>
    <w:p>
      <w:pPr>
        <w:pStyle w:val="5"/>
        <w:numPr>
          <w:ilvl w:val="0"/>
          <w:numId w:val="5"/>
        </w:num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案例申报材料以图文形式递交，申报文档字数要求3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-5000字，要求主旨清晰、层次分明、资料翔实、务实严谨。申报文档配图不超过5张，并插入申报文档内。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案例分类</w:t>
      </w:r>
    </w:p>
    <w:p>
      <w:pPr>
        <w:pStyle w:val="5"/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简述：</w:t>
      </w:r>
    </w:p>
    <w:p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案例旨在挖掘我国数字经济发展过程中，各领域在“数字产业化”和“产业数字化”的政策落实、经济成果、技术成果、科研创新的优秀实践，同时，利用新华网权威媒体平台，对案例进行系统化展示。具体申报分类如下：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数字经济先锋案例：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在数字经济发展过程中，企业、机构基于大模型、A</w:t>
      </w:r>
      <w:r>
        <w:rPr>
          <w:rFonts w:ascii="仿宋" w:hAnsi="仿宋" w:eastAsia="仿宋"/>
          <w:sz w:val="32"/>
          <w:szCs w:val="32"/>
        </w:rPr>
        <w:t>IGC</w:t>
      </w:r>
      <w:r>
        <w:rPr>
          <w:rFonts w:hint="eastAsia" w:ascii="仿宋" w:hAnsi="仿宋" w:eastAsia="仿宋"/>
          <w:sz w:val="32"/>
          <w:szCs w:val="32"/>
        </w:rPr>
        <w:t>、A</w:t>
      </w:r>
      <w:r>
        <w:rPr>
          <w:rFonts w:ascii="仿宋" w:hAnsi="仿宋" w:eastAsia="仿宋"/>
          <w:sz w:val="32"/>
          <w:szCs w:val="32"/>
        </w:rPr>
        <w:t>GI</w:t>
      </w:r>
      <w:r>
        <w:rPr>
          <w:rFonts w:hint="eastAsia" w:ascii="仿宋" w:hAnsi="仿宋" w:eastAsia="仿宋"/>
          <w:sz w:val="32"/>
          <w:szCs w:val="32"/>
        </w:rPr>
        <w:t>等技术成果进行深度开发和实际应用，具有代表性、先进性和跨越性特点，对于产业数字化具备推动和带动作用的案例，可申报此案例。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行业大模型典型应用案例：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大模型深度结合</w:t>
      </w:r>
      <w:r>
        <w:rPr>
          <w:rFonts w:hint="eastAsia" w:ascii="仿宋" w:hAnsi="仿宋" w:eastAsia="仿宋"/>
          <w:sz w:val="32"/>
          <w:szCs w:val="32"/>
        </w:rPr>
        <w:t>业务场景</w:t>
      </w:r>
      <w:r>
        <w:rPr>
          <w:rFonts w:ascii="仿宋" w:hAnsi="仿宋" w:eastAsia="仿宋"/>
          <w:sz w:val="32"/>
          <w:szCs w:val="32"/>
        </w:rPr>
        <w:t>，协助不同行业开发新功能、形成新产品、拓展新应用，推动人工智能技术</w:t>
      </w:r>
      <w:r>
        <w:rPr>
          <w:rFonts w:hint="eastAsia" w:ascii="仿宋" w:hAnsi="仿宋" w:eastAsia="仿宋"/>
          <w:sz w:val="32"/>
          <w:szCs w:val="32"/>
        </w:rPr>
        <w:t>赋能千行百业</w:t>
      </w:r>
      <w:r>
        <w:rPr>
          <w:rFonts w:ascii="仿宋" w:hAnsi="仿宋" w:eastAsia="仿宋"/>
          <w:sz w:val="32"/>
          <w:szCs w:val="32"/>
        </w:rPr>
        <w:t>，帮助行业用户实现“降本提质增效”</w:t>
      </w:r>
      <w:r>
        <w:rPr>
          <w:rFonts w:hint="eastAsia" w:ascii="仿宋" w:hAnsi="仿宋" w:eastAsia="仿宋"/>
          <w:sz w:val="32"/>
          <w:szCs w:val="32"/>
        </w:rPr>
        <w:t>的案例，可申报此项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数字金融赋能实体产业案例：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以数字信息技术手段融合传统金融服务业态，积极赋能实体产业发展，实现金融赋能在实体产业运作中的精确引导和精准释放，相关优秀做法和经验成果，可申报此案例。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数字经济赋能乡村振兴案例：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积极探索乡村智治模式，着力构建乡村数字治理框架体系，数字赋能乡村经济发展和民生服务，深入推进信息惠民工程，提升数字化乡村建设水平的优秀案例，可申报此项。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数据交易模式应用案例：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在数据商业模式创新、数据流通和交易创新、数据资源整合创新、数据应用创新等方向，具有一定的引领性、创新性和示范性的企业和单位，可申报此案例。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数据产业化应用实践案例：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积极探索和推进数据要素的产业转化，加强数据产品供给，深化数据资源开发利用，并以此开发数字商业新业态，有利于数据产业集群发展的相关企业、单位，可申报此案例。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产业园区数字化先锋案例：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针对产业园区实施数字化改造提升，推进产业链延链、补链、强链，促进园区集群化、低碳化、数字化、高端化发展，推动园区布局优化整合，打造数字化智慧园区的相关企业、单位，可申报此案例。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“专精特新小巨人”数字创新优秀案例：</w:t>
      </w:r>
      <w:r>
        <w:rPr>
          <w:rFonts w:ascii="仿宋" w:hAnsi="仿宋" w:eastAsia="仿宋"/>
          <w:b/>
          <w:sz w:val="32"/>
          <w:szCs w:val="32"/>
        </w:rPr>
        <w:t xml:space="preserve"> 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针对数字经济领域中的“专精特新”小巨人企业，要求企业业绩良好，在行业中或一定区域内具备较高市场占有率，并且掌握关键核心技术，其专业化、精细化、特色化、新颖化的科创案例，可申报此项。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数字化转型发展案例：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传统企业在数字化转型发展过程中，通过应用云计算、大数据、人工智能等关键技术，创新业务增长模式，强化内部组织能力，提升客户体验，实现降本增效，并积极推广数字化转型经验成果的相关企业、单位，可申报此案例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“数据要素X重点行动”案例：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符合《“数据要素×”三年行动计划（</w:t>
      </w:r>
      <w:r>
        <w:rPr>
          <w:rFonts w:ascii="仿宋" w:hAnsi="仿宋" w:eastAsia="仿宋"/>
          <w:sz w:val="32"/>
          <w:szCs w:val="32"/>
        </w:rPr>
        <w:t>2024—2026年）</w:t>
      </w:r>
      <w:r>
        <w:rPr>
          <w:rFonts w:hint="eastAsia" w:ascii="仿宋" w:hAnsi="仿宋" w:eastAsia="仿宋"/>
          <w:sz w:val="32"/>
          <w:szCs w:val="32"/>
        </w:rPr>
        <w:t>》要求，在工业制造、现代农业、商贸流通、交通运输、金融服务、科技创新、文化旅游、医疗健康、应急管理、气象服务、城市治理、绿色低碳这1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个领域中，起到了促进数据要素创新应用，提升生产效率和科研效率，加强安全管控和风险控制，促进文化传播，完善服务体系等显著效果，对数据产业生态起到繁荣作用的案例，均可申报此项。</w:t>
      </w:r>
    </w:p>
    <w:p>
      <w:pPr>
        <w:pStyle w:val="5"/>
        <w:numPr>
          <w:ilvl w:val="0"/>
          <w:numId w:val="6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“数据要素X保障支撑”案例：</w:t>
      </w:r>
    </w:p>
    <w:p>
      <w:pPr>
        <w:pStyle w:val="5"/>
        <w:numPr>
          <w:ilvl w:val="1"/>
          <w:numId w:val="6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符合《“数据要素×”三年行动计划（</w:t>
      </w:r>
      <w:r>
        <w:rPr>
          <w:rFonts w:ascii="仿宋" w:hAnsi="仿宋" w:eastAsia="仿宋"/>
          <w:sz w:val="32"/>
          <w:szCs w:val="32"/>
        </w:rPr>
        <w:t>2024—2026年）</w:t>
      </w:r>
      <w:r>
        <w:rPr>
          <w:rFonts w:hint="eastAsia" w:ascii="仿宋" w:hAnsi="仿宋" w:eastAsia="仿宋"/>
          <w:sz w:val="32"/>
          <w:szCs w:val="32"/>
        </w:rPr>
        <w:t>》要求，在数据要素应用过程中提升数据供给水平、优化数据流通环境、加强数据安全保障这三个方面，起到了关键性促进、推动、决策作用，营造了数据要素应用良好环境的的政府机构、行业协会、科研组织，可申报此项案例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征集流程：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案例征集</w:t>
      </w:r>
      <w:r>
        <w:rPr>
          <w:rFonts w:ascii="仿宋" w:hAnsi="仿宋" w:eastAsia="仿宋"/>
          <w:sz w:val="32"/>
          <w:szCs w:val="32"/>
        </w:rPr>
        <w:t xml:space="preserve"> → </w:t>
      </w:r>
      <w:r>
        <w:rPr>
          <w:rFonts w:hint="eastAsia" w:ascii="仿宋" w:hAnsi="仿宋" w:eastAsia="仿宋"/>
          <w:sz w:val="32"/>
          <w:szCs w:val="32"/>
        </w:rPr>
        <w:t>审核评定</w:t>
      </w:r>
      <w:r>
        <w:rPr>
          <w:rFonts w:ascii="仿宋" w:hAnsi="仿宋" w:eastAsia="仿宋"/>
          <w:sz w:val="32"/>
          <w:szCs w:val="32"/>
        </w:rPr>
        <w:t xml:space="preserve"> → </w:t>
      </w:r>
      <w:r>
        <w:rPr>
          <w:rFonts w:hint="eastAsia" w:ascii="仿宋" w:hAnsi="仿宋" w:eastAsia="仿宋"/>
          <w:sz w:val="32"/>
          <w:szCs w:val="32"/>
        </w:rPr>
        <w:t>公示</w:t>
      </w:r>
      <w:r>
        <w:rPr>
          <w:rFonts w:ascii="仿宋" w:hAnsi="仿宋" w:eastAsia="仿宋"/>
          <w:sz w:val="32"/>
          <w:szCs w:val="32"/>
        </w:rPr>
        <w:t>发布 → 宣传推广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征集阶段：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2024年3月1日至2024年9月30日。</w:t>
      </w:r>
    </w:p>
    <w:p>
      <w:pPr>
        <w:pStyle w:val="5"/>
        <w:numPr>
          <w:ilvl w:val="0"/>
          <w:numId w:val="1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案例提交方式：</w:t>
      </w:r>
    </w:p>
    <w:p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中国数字经济先锋案例征集”开设以下投稿通道：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1、填写“</w:t>
      </w:r>
      <w:r>
        <w:rPr>
          <w:rFonts w:hint="eastAsia" w:ascii="仿宋" w:hAnsi="仿宋" w:eastAsia="仿宋"/>
          <w:sz w:val="32"/>
          <w:szCs w:val="32"/>
        </w:rPr>
        <w:t>中国数字经济先锋案例征集申报</w:t>
      </w:r>
      <w:r>
        <w:rPr>
          <w:rFonts w:ascii="仿宋" w:hAnsi="仿宋" w:eastAsia="仿宋"/>
          <w:sz w:val="32"/>
          <w:szCs w:val="32"/>
        </w:rPr>
        <w:t>表”，并发送至邮箱：</w:t>
      </w:r>
      <w:r>
        <w:fldChar w:fldCharType="begin"/>
      </w:r>
      <w:r>
        <w:instrText xml:space="preserve"> HYPERLINK "mailto:xhwdsj@news.cn及xhrsdsj@163.com" </w:instrText>
      </w:r>
      <w:r>
        <w:fldChar w:fldCharType="separate"/>
      </w:r>
      <w:r>
        <w:rPr>
          <w:rStyle w:val="4"/>
          <w:rFonts w:ascii="仿宋" w:hAnsi="仿宋" w:eastAsia="仿宋"/>
          <w:sz w:val="32"/>
          <w:szCs w:val="32"/>
        </w:rPr>
        <w:t>XHWDSJ@news.cn及xhrsdsj@163.com</w:t>
      </w:r>
      <w:r>
        <w:rPr>
          <w:rStyle w:val="4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（需同步发送），</w:t>
      </w:r>
      <w:r>
        <w:rPr>
          <w:rFonts w:ascii="仿宋" w:hAnsi="仿宋" w:eastAsia="仿宋"/>
          <w:sz w:val="32"/>
          <w:szCs w:val="32"/>
        </w:rPr>
        <w:t>有关图片、媒体报道复印件等可作为附件同时发送。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2、如寄送申报材料需一式三份反馈至主办单位新华网，纸质材料应与电子版保持一致。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邮寄地址：</w:t>
      </w:r>
      <w:r>
        <w:rPr>
          <w:rFonts w:hint="eastAsia" w:ascii="仿宋" w:hAnsi="仿宋" w:eastAsia="仿宋"/>
          <w:sz w:val="32"/>
          <w:szCs w:val="32"/>
          <w:u w:val="single"/>
        </w:rPr>
        <w:t>北京市西城区宣武门西大街</w:t>
      </w:r>
      <w:r>
        <w:rPr>
          <w:rFonts w:ascii="仿宋" w:hAnsi="仿宋" w:eastAsia="仿宋"/>
          <w:sz w:val="32"/>
          <w:szCs w:val="32"/>
          <w:u w:val="single"/>
        </w:rPr>
        <w:t>129号金隅大厦新华网大数据中心</w:t>
      </w:r>
      <w:r>
        <w:rPr>
          <w:rFonts w:hint="eastAsia" w:ascii="仿宋" w:hAnsi="仿宋" w:eastAsia="仿宋"/>
          <w:sz w:val="32"/>
          <w:szCs w:val="32"/>
        </w:rPr>
        <w:t xml:space="preserve">收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邮编：</w:t>
      </w:r>
      <w:r>
        <w:rPr>
          <w:rFonts w:ascii="仿宋" w:hAnsi="仿宋" w:eastAsia="仿宋"/>
          <w:sz w:val="32"/>
          <w:szCs w:val="32"/>
        </w:rPr>
        <w:t xml:space="preserve">100031  </w:t>
      </w:r>
      <w:r>
        <w:rPr>
          <w:rFonts w:hint="eastAsia" w:ascii="仿宋" w:hAnsi="仿宋" w:eastAsia="仿宋"/>
          <w:sz w:val="32"/>
          <w:szCs w:val="32"/>
        </w:rPr>
        <w:t>座机：0</w:t>
      </w:r>
      <w:r>
        <w:rPr>
          <w:rFonts w:ascii="仿宋" w:hAnsi="仿宋" w:eastAsia="仿宋"/>
          <w:sz w:val="32"/>
          <w:szCs w:val="32"/>
        </w:rPr>
        <w:t>10-</w:t>
      </w:r>
      <w:r>
        <w:t xml:space="preserve"> </w:t>
      </w:r>
      <w:r>
        <w:rPr>
          <w:rFonts w:ascii="仿宋" w:hAnsi="仿宋" w:eastAsia="仿宋"/>
          <w:sz w:val="32"/>
          <w:szCs w:val="32"/>
        </w:rPr>
        <w:t>88050341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</w:rPr>
        <w:t>中国数字经济先锋案例</w:t>
      </w:r>
      <w:r>
        <w:rPr>
          <w:rFonts w:ascii="仿宋" w:hAnsi="仿宋" w:eastAsia="仿宋"/>
          <w:sz w:val="32"/>
          <w:szCs w:val="32"/>
        </w:rPr>
        <w:t>征集官方联系方式：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张先生 </w:t>
      </w:r>
      <w:r>
        <w:rPr>
          <w:rFonts w:ascii="仿宋" w:hAnsi="仿宋" w:eastAsia="仿宋"/>
          <w:sz w:val="32"/>
          <w:szCs w:val="32"/>
        </w:rPr>
        <w:t xml:space="preserve">13810080459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马先生 </w:t>
      </w:r>
      <w:r>
        <w:rPr>
          <w:rFonts w:ascii="仿宋" w:hAnsi="仿宋" w:eastAsia="仿宋"/>
          <w:sz w:val="32"/>
          <w:szCs w:val="32"/>
        </w:rPr>
        <w:t xml:space="preserve">13811495996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刘先生 </w:t>
      </w:r>
      <w:r>
        <w:rPr>
          <w:rFonts w:ascii="仿宋" w:hAnsi="仿宋" w:eastAsia="仿宋"/>
          <w:sz w:val="32"/>
          <w:szCs w:val="32"/>
        </w:rPr>
        <w:t>15330061902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座机：0</w:t>
      </w:r>
      <w:r>
        <w:rPr>
          <w:rFonts w:ascii="仿宋" w:hAnsi="仿宋" w:eastAsia="仿宋"/>
          <w:sz w:val="32"/>
          <w:szCs w:val="32"/>
        </w:rPr>
        <w:t>10-</w:t>
      </w:r>
      <w:r>
        <w:t xml:space="preserve"> </w:t>
      </w:r>
      <w:r>
        <w:rPr>
          <w:rFonts w:ascii="仿宋" w:hAnsi="仿宋" w:eastAsia="仿宋"/>
          <w:sz w:val="32"/>
          <w:szCs w:val="32"/>
        </w:rPr>
        <w:t>88050341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5531E"/>
    <w:multiLevelType w:val="multilevel"/>
    <w:tmpl w:val="00B5531E"/>
    <w:lvl w:ilvl="0" w:tentative="0">
      <w:start w:val="3"/>
      <w:numFmt w:val="bullet"/>
      <w:lvlText w:val="※"/>
      <w:lvlJc w:val="left"/>
      <w:pPr>
        <w:ind w:left="1384" w:hanging="360"/>
      </w:pPr>
      <w:rPr>
        <w:rFonts w:hint="eastAsia" w:ascii="仿宋" w:hAnsi="仿宋" w:eastAsia="仿宋" w:cstheme="minorBidi"/>
      </w:rPr>
    </w:lvl>
    <w:lvl w:ilvl="1" w:tentative="0">
      <w:start w:val="1"/>
      <w:numFmt w:val="bullet"/>
      <w:lvlText w:val=""/>
      <w:lvlJc w:val="left"/>
      <w:pPr>
        <w:ind w:left="18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4" w:hanging="420"/>
      </w:pPr>
      <w:rPr>
        <w:rFonts w:hint="default" w:ascii="Wingdings" w:hAnsi="Wingdings"/>
      </w:rPr>
    </w:lvl>
  </w:abstractNum>
  <w:abstractNum w:abstractNumId="1">
    <w:nsid w:val="0C553B6B"/>
    <w:multiLevelType w:val="multilevel"/>
    <w:tmpl w:val="0C553B6B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  <w:b/>
        <w:bCs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0E3A0121"/>
    <w:multiLevelType w:val="multilevel"/>
    <w:tmpl w:val="0E3A0121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392E6928"/>
    <w:multiLevelType w:val="multilevel"/>
    <w:tmpl w:val="392E6928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□"/>
      <w:lvlJc w:val="left"/>
      <w:pPr>
        <w:ind w:left="1620" w:hanging="360"/>
      </w:pPr>
      <w:rPr>
        <w:rFonts w:hint="eastAsia" w:ascii="仿宋" w:hAnsi="仿宋" w:eastAsia="仿宋" w:cstheme="minorBidi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5D9691B9"/>
    <w:multiLevelType w:val="singleLevel"/>
    <w:tmpl w:val="5D9691B9"/>
    <w:lvl w:ilvl="0" w:tentative="0">
      <w:start w:val="3"/>
      <w:numFmt w:val="decimal"/>
      <w:lvlText w:val="%1）"/>
      <w:lvlJc w:val="left"/>
      <w:pPr>
        <w:tabs>
          <w:tab w:val="left" w:pos="420"/>
        </w:tabs>
      </w:pPr>
      <w:rPr>
        <w:rFonts w:hint="default"/>
        <w:b/>
        <w:bCs/>
      </w:rPr>
    </w:lvl>
  </w:abstractNum>
  <w:abstractNum w:abstractNumId="5">
    <w:nsid w:val="67AF7FB3"/>
    <w:multiLevelType w:val="multilevel"/>
    <w:tmpl w:val="67AF7FB3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ZTlkMDEwNjA3YmFmZTBkZGIzMjA1ZjczNzkxZWUifQ=="/>
  </w:docVars>
  <w:rsids>
    <w:rsidRoot w:val="00000000"/>
    <w:rsid w:val="0D0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2024-02-29T01:52:56Z</dcterms:created>
  <dc:creator>chenhua</dc:creator>
  <cp:lastModifiedBy>熙熙</cp:lastModifiedBy>
  <dcterms:modified xsi:type="dcterms:W3CDTF">2024-02-29T01:53:48Z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9C07E0C415C64D289DBFD51891FBBA44_13</vt:lpwstr>
  </property>
</Properties>
</file>