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600" w:lineRule="exact"/>
        <w:jc w:val="center"/>
        <w:rPr>
          <w:rFonts w:ascii="方正小标宋简体" w:hAnsi="方正小标宋简体" w:eastAsia="方正小标宋简体" w:cs="方正小标宋简体"/>
          <w:color w:val="000000"/>
          <w:sz w:val="44"/>
          <w:szCs w:val="44"/>
        </w:rPr>
      </w:pPr>
      <w:bookmarkStart w:id="0" w:name="_GoBack"/>
      <w:bookmarkEnd w:id="0"/>
      <w:r>
        <w:rPr>
          <w:rFonts w:ascii="方正小标宋简体" w:hAnsi="方正小标宋简体" w:eastAsia="方正小标宋简体" w:cs="方正小标宋简体"/>
          <w:color w:val="000000"/>
          <w:sz w:val="44"/>
          <w:szCs w:val="44"/>
        </w:rPr>
        <w:t xml:space="preserve"> </w:t>
      </w:r>
      <w:r>
        <w:rPr>
          <w:rFonts w:hint="eastAsia" w:ascii="方正小标宋简体" w:hAnsi="方正小标宋简体" w:eastAsia="方正小标宋简体" w:cs="方正小标宋简体"/>
          <w:color w:val="000000"/>
          <w:sz w:val="44"/>
          <w:szCs w:val="44"/>
        </w:rPr>
        <w:t>中国新闻奖</w:t>
      </w:r>
      <w:r>
        <w:rPr>
          <w:rFonts w:hint="eastAsia" w:ascii="方正小标宋简体" w:hAnsi="方正小标宋简体" w:eastAsia="方正小标宋简体" w:cs="方正小标宋简体"/>
          <w:color w:val="000000"/>
          <w:sz w:val="44"/>
          <w:szCs w:val="44"/>
          <w:lang w:eastAsia="zh-CN"/>
        </w:rPr>
        <w:t>报纸版面</w:t>
      </w:r>
      <w:r>
        <w:rPr>
          <w:rFonts w:hint="eastAsia" w:ascii="方正小标宋简体" w:hAnsi="方正小标宋简体" w:eastAsia="方正小标宋简体" w:cs="方正小标宋简体"/>
          <w:color w:val="000000"/>
          <w:sz w:val="44"/>
          <w:szCs w:val="44"/>
        </w:rPr>
        <w:t>参评作品推荐表</w:t>
      </w:r>
    </w:p>
    <w:tbl>
      <w:tblPr>
        <w:tblStyle w:val="2"/>
        <w:tblW w:w="962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3079"/>
        <w:gridCol w:w="1706"/>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exact"/>
        </w:trPr>
        <w:tc>
          <w:tcPr>
            <w:tcW w:w="1791" w:type="dxa"/>
            <w:vMerge w:val="restart"/>
            <w:vAlign w:val="center"/>
          </w:tcPr>
          <w:p>
            <w:pPr>
              <w:spacing w:line="380" w:lineRule="exact"/>
              <w:jc w:val="center"/>
              <w:rPr>
                <w:rFonts w:hint="eastAsia" w:ascii="华文中宋" w:hAnsi="华文中宋" w:eastAsia="华文中宋"/>
                <w:color w:val="000000"/>
                <w:sz w:val="28"/>
                <w:lang w:eastAsia="zh-CN"/>
              </w:rPr>
            </w:pPr>
            <w:r>
              <w:rPr>
                <w:rFonts w:hint="eastAsia" w:ascii="华文中宋" w:hAnsi="华文中宋" w:eastAsia="华文中宋"/>
                <w:color w:val="000000"/>
                <w:sz w:val="28"/>
                <w:lang w:eastAsia="zh-CN"/>
              </w:rPr>
              <w:t>报纸名称</w:t>
            </w:r>
          </w:p>
        </w:tc>
        <w:tc>
          <w:tcPr>
            <w:tcW w:w="3079" w:type="dxa"/>
            <w:vMerge w:val="restart"/>
            <w:vAlign w:val="center"/>
          </w:tcPr>
          <w:p>
            <w:pPr>
              <w:spacing w:line="260" w:lineRule="exact"/>
              <w:rPr>
                <w:rFonts w:hint="eastAsia" w:ascii="华文中宋" w:hAnsi="华文中宋" w:eastAsia="华文中宋"/>
                <w:color w:val="000000"/>
                <w:sz w:val="28"/>
                <w:lang w:eastAsia="zh-CN"/>
              </w:rPr>
            </w:pPr>
            <w:r>
              <w:rPr>
                <w:rFonts w:hint="eastAsia" w:ascii="华文中宋" w:hAnsi="华文中宋" w:eastAsia="华文中宋"/>
                <w:color w:val="000000"/>
                <w:sz w:val="28"/>
                <w:lang w:eastAsia="zh-CN"/>
              </w:rPr>
              <w:t>新华每日电讯</w:t>
            </w:r>
          </w:p>
        </w:tc>
        <w:tc>
          <w:tcPr>
            <w:tcW w:w="1706" w:type="dxa"/>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048" w:type="dxa"/>
            <w:vAlign w:val="center"/>
          </w:tcPr>
          <w:p>
            <w:pPr>
              <w:rPr>
                <w:rFonts w:hint="eastAsia" w:ascii="仿宋_GB2312" w:eastAsia="宋体"/>
                <w:color w:val="000000"/>
                <w:sz w:val="28"/>
                <w:lang w:eastAsia="zh-CN"/>
              </w:rPr>
            </w:pPr>
            <w:r>
              <w:rPr>
                <w:rFonts w:hint="eastAsia"/>
                <w:lang w:eastAsia="zh-CN"/>
              </w:rPr>
              <w:t>新闻版面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exact"/>
        </w:trPr>
        <w:tc>
          <w:tcPr>
            <w:tcW w:w="1791" w:type="dxa"/>
            <w:vMerge w:val="continue"/>
            <w:vAlign w:val="center"/>
          </w:tcPr>
          <w:p>
            <w:pPr>
              <w:spacing w:line="380" w:lineRule="exact"/>
              <w:ind w:firstLine="560"/>
              <w:jc w:val="center"/>
              <w:rPr>
                <w:rFonts w:ascii="华文中宋" w:hAnsi="华文中宋" w:eastAsia="华文中宋"/>
                <w:color w:val="000000"/>
                <w:sz w:val="28"/>
              </w:rPr>
            </w:pPr>
          </w:p>
        </w:tc>
        <w:tc>
          <w:tcPr>
            <w:tcW w:w="3079" w:type="dxa"/>
            <w:vMerge w:val="continue"/>
            <w:vAlign w:val="center"/>
          </w:tcPr>
          <w:p>
            <w:pPr>
              <w:spacing w:line="380" w:lineRule="exact"/>
              <w:ind w:firstLine="560"/>
              <w:jc w:val="center"/>
              <w:rPr>
                <w:rFonts w:ascii="华文中宋" w:hAnsi="华文中宋" w:eastAsia="华文中宋"/>
                <w:color w:val="000000"/>
                <w:sz w:val="28"/>
              </w:rPr>
            </w:pPr>
          </w:p>
        </w:tc>
        <w:tc>
          <w:tcPr>
            <w:tcW w:w="1706" w:type="dxa"/>
            <w:vAlign w:val="center"/>
          </w:tcPr>
          <w:p>
            <w:pPr>
              <w:spacing w:line="260" w:lineRule="exact"/>
              <w:rPr>
                <w:rFonts w:hint="eastAsia" w:ascii="华文中宋" w:hAnsi="华文中宋" w:eastAsia="华文中宋"/>
                <w:color w:val="000000"/>
                <w:sz w:val="28"/>
                <w:lang w:eastAsia="zh-CN"/>
              </w:rPr>
            </w:pPr>
            <w:r>
              <w:rPr>
                <w:rFonts w:hint="eastAsia" w:ascii="华文中宋" w:hAnsi="华文中宋" w:eastAsia="华文中宋"/>
                <w:color w:val="000000"/>
                <w:sz w:val="28"/>
                <w:lang w:eastAsia="zh-CN"/>
              </w:rPr>
              <w:t>刊发日期</w:t>
            </w:r>
          </w:p>
        </w:tc>
        <w:tc>
          <w:tcPr>
            <w:tcW w:w="3048" w:type="dxa"/>
            <w:vAlign w:val="center"/>
          </w:tcPr>
          <w:p>
            <w:pPr>
              <w:spacing w:line="260" w:lineRule="exact"/>
              <w:rPr>
                <w:rFonts w:hint="eastAsia" w:ascii="仿宋_GB2312" w:hAnsi="仿宋" w:eastAsia="宋体"/>
                <w:color w:val="000000"/>
                <w:sz w:val="28"/>
                <w:lang w:val="en-US" w:eastAsia="zh-CN"/>
              </w:rPr>
            </w:pPr>
            <w:r>
              <w:rPr>
                <w:rFonts w:hint="eastAsia"/>
                <w:lang w:val="en-US" w:eastAsia="zh-CN"/>
              </w:rPr>
              <w:t>2023年10月30日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791" w:type="dxa"/>
            <w:vAlign w:val="center"/>
          </w:tcPr>
          <w:p>
            <w:pPr>
              <w:spacing w:line="320" w:lineRule="exact"/>
              <w:jc w:val="center"/>
              <w:rPr>
                <w:rFonts w:hint="eastAsia" w:ascii="华文中宋" w:hAnsi="华文中宋" w:eastAsia="华文中宋"/>
                <w:color w:val="000000"/>
                <w:spacing w:val="-12"/>
                <w:sz w:val="24"/>
                <w:lang w:eastAsia="zh-CN"/>
              </w:rPr>
            </w:pPr>
            <w:r>
              <w:rPr>
                <w:rFonts w:hint="eastAsia" w:ascii="华文中宋" w:hAnsi="华文中宋" w:eastAsia="华文中宋"/>
                <w:color w:val="000000"/>
                <w:spacing w:val="-12"/>
                <w:sz w:val="28"/>
                <w:lang w:eastAsia="zh-CN"/>
              </w:rPr>
              <w:t>版面名称及版次</w:t>
            </w:r>
          </w:p>
        </w:tc>
        <w:tc>
          <w:tcPr>
            <w:tcW w:w="3079" w:type="dxa"/>
            <w:vAlign w:val="center"/>
          </w:tcPr>
          <w:p>
            <w:pPr>
              <w:jc w:val="center"/>
              <w:rPr>
                <w:rFonts w:hint="eastAsia" w:ascii="华文中宋" w:hAnsi="华文中宋" w:eastAsia="华文中宋"/>
                <w:color w:val="000000"/>
                <w:sz w:val="28"/>
                <w:lang w:eastAsia="zh-CN"/>
              </w:rPr>
            </w:pPr>
            <w:r>
              <w:rPr>
                <w:rFonts w:hint="eastAsia"/>
                <w:lang w:eastAsia="zh-CN"/>
              </w:rPr>
              <w:t>《</w:t>
            </w:r>
            <w:r>
              <w:rPr>
                <w:rFonts w:hint="eastAsia"/>
                <w:lang w:val="en-US" w:eastAsia="zh-Hans"/>
              </w:rPr>
              <w:t>科技</w:t>
            </w:r>
            <w:r>
              <w:rPr>
                <w:rFonts w:hint="eastAsia"/>
                <w:lang w:val="en-US" w:eastAsia="zh-CN"/>
              </w:rPr>
              <w:t>驱“盐”化“碱”，</w:t>
            </w:r>
            <w:r>
              <w:rPr>
                <w:rFonts w:hint="eastAsia"/>
                <w:lang w:val="en-US" w:eastAsia="zh-Hans"/>
              </w:rPr>
              <w:t>盐碱地画出新丰景</w:t>
            </w:r>
            <w:r>
              <w:rPr>
                <w:rFonts w:hint="eastAsia"/>
                <w:lang w:eastAsia="zh-CN"/>
              </w:rPr>
              <w:t>》</w:t>
            </w:r>
            <w:r>
              <w:rPr>
                <w:rFonts w:hint="eastAsia"/>
                <w:lang w:val="en-US" w:eastAsia="zh-CN"/>
              </w:rPr>
              <w:t>5-8</w:t>
            </w:r>
            <w:r>
              <w:rPr>
                <w:rFonts w:hint="eastAsia"/>
                <w:lang w:val="en-US" w:eastAsia="zh-Hans"/>
              </w:rPr>
              <w:t>通版</w:t>
            </w:r>
          </w:p>
        </w:tc>
        <w:tc>
          <w:tcPr>
            <w:tcW w:w="1706" w:type="dxa"/>
            <w:vAlign w:val="center"/>
          </w:tcPr>
          <w:p>
            <w:pPr>
              <w:spacing w:line="320" w:lineRule="exact"/>
              <w:jc w:val="center"/>
              <w:rPr>
                <w:rFonts w:hint="eastAsia" w:ascii="华文中宋" w:hAnsi="华文中宋" w:eastAsia="华文中宋"/>
                <w:color w:val="000000"/>
                <w:spacing w:val="-12"/>
                <w:sz w:val="28"/>
                <w:lang w:eastAsia="zh-CN"/>
              </w:rPr>
            </w:pPr>
            <w:r>
              <w:rPr>
                <w:rFonts w:hint="eastAsia" w:ascii="华文中宋" w:hAnsi="华文中宋" w:eastAsia="华文中宋"/>
                <w:color w:val="000000"/>
                <w:spacing w:val="-12"/>
                <w:sz w:val="28"/>
                <w:lang w:eastAsia="zh-CN"/>
              </w:rPr>
              <w:t>作者</w:t>
            </w:r>
          </w:p>
        </w:tc>
        <w:tc>
          <w:tcPr>
            <w:tcW w:w="3048" w:type="dxa"/>
            <w:vAlign w:val="center"/>
          </w:tcPr>
          <w:p>
            <w:pPr>
              <w:spacing w:line="240" w:lineRule="exact"/>
              <w:rPr>
                <w:rFonts w:hint="eastAsia" w:ascii="仿宋" w:hAnsi="仿宋" w:eastAsia="仿宋" w:cs="仿宋"/>
                <w:color w:val="000000"/>
                <w:sz w:val="24"/>
                <w:szCs w:val="18"/>
              </w:rPr>
            </w:pPr>
            <w:r>
              <w:rPr>
                <w:rFonts w:hint="eastAsia"/>
                <w:lang w:val="en-US" w:eastAsia="zh-Hans"/>
              </w:rPr>
              <w:t>陈琰泽</w:t>
            </w:r>
            <w:r>
              <w:rPr>
                <w:rFonts w:hint="eastAsia"/>
                <w:lang w:val="en-US" w:eastAsia="zh-CN"/>
              </w:rPr>
              <w:t>、</w:t>
            </w:r>
            <w:r>
              <w:rPr>
                <w:rFonts w:hint="eastAsia"/>
              </w:rPr>
              <w:t>张典标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1791" w:type="dxa"/>
            <w:vAlign w:val="center"/>
          </w:tcPr>
          <w:p>
            <w:pPr>
              <w:jc w:val="center"/>
              <w:rPr>
                <w:rFonts w:hint="eastAsia" w:ascii="华文中宋" w:hAnsi="华文中宋" w:eastAsia="华文中宋"/>
                <w:color w:val="000000"/>
                <w:sz w:val="28"/>
                <w:lang w:eastAsia="zh-CN"/>
              </w:rPr>
            </w:pPr>
            <w:r>
              <w:rPr>
                <w:rFonts w:hint="eastAsia" w:ascii="华文中宋" w:hAnsi="华文中宋" w:eastAsia="华文中宋"/>
                <w:color w:val="000000"/>
                <w:sz w:val="28"/>
                <w:lang w:eastAsia="zh-CN"/>
              </w:rPr>
              <w:t>版面总字数</w:t>
            </w:r>
          </w:p>
        </w:tc>
        <w:tc>
          <w:tcPr>
            <w:tcW w:w="3079" w:type="dxa"/>
            <w:vAlign w:val="center"/>
          </w:tcPr>
          <w:p>
            <w:pPr>
              <w:spacing w:line="400" w:lineRule="exact"/>
              <w:jc w:val="center"/>
              <w:rPr>
                <w:rFonts w:ascii="华文中宋" w:hAnsi="华文中宋" w:eastAsia="华文中宋"/>
                <w:color w:val="000000"/>
                <w:sz w:val="28"/>
              </w:rPr>
            </w:pPr>
            <w:r>
              <w:rPr>
                <w:rFonts w:hint="eastAsia"/>
                <w:lang w:val="en-US" w:eastAsia="zh-CN"/>
              </w:rPr>
              <w:t>80</w:t>
            </w:r>
            <w:r>
              <w:rPr>
                <w:rFonts w:hint="default"/>
                <w:lang w:eastAsia="zh-Hans"/>
              </w:rPr>
              <w:t>00</w:t>
            </w:r>
            <w:r>
              <w:rPr>
                <w:rFonts w:hint="eastAsia"/>
                <w:lang w:val="en-US" w:eastAsia="zh-Hans"/>
              </w:rPr>
              <w:t>字</w:t>
            </w:r>
          </w:p>
        </w:tc>
        <w:tc>
          <w:tcPr>
            <w:tcW w:w="1706" w:type="dxa"/>
            <w:vAlign w:val="center"/>
          </w:tcPr>
          <w:p>
            <w:pPr>
              <w:spacing w:line="320" w:lineRule="exact"/>
              <w:jc w:val="center"/>
              <w:rPr>
                <w:rFonts w:hint="eastAsia" w:ascii="华文中宋" w:hAnsi="华文中宋" w:eastAsia="华文中宋"/>
                <w:color w:val="000000"/>
                <w:spacing w:val="-12"/>
                <w:sz w:val="28"/>
                <w:lang w:eastAsia="zh-CN"/>
              </w:rPr>
            </w:pPr>
            <w:r>
              <w:rPr>
                <w:rFonts w:hint="eastAsia" w:ascii="华文中宋" w:hAnsi="华文中宋" w:eastAsia="华文中宋"/>
                <w:color w:val="000000"/>
                <w:spacing w:val="-12"/>
                <w:sz w:val="28"/>
                <w:lang w:eastAsia="zh-CN"/>
              </w:rPr>
              <w:t>编辑</w:t>
            </w:r>
          </w:p>
        </w:tc>
        <w:tc>
          <w:tcPr>
            <w:tcW w:w="3048" w:type="dxa"/>
            <w:vAlign w:val="center"/>
          </w:tcPr>
          <w:p>
            <w:pPr>
              <w:spacing w:line="260" w:lineRule="exact"/>
              <w:rPr>
                <w:rFonts w:hint="eastAsia" w:ascii="Verdana" w:hAnsi="Verdana" w:cs="Verdana"/>
                <w:color w:val="000000"/>
                <w:sz w:val="24"/>
                <w:lang w:val="en-US" w:eastAsia="zh-CN"/>
              </w:rPr>
            </w:pPr>
            <w:r>
              <w:rPr>
                <w:rFonts w:hint="eastAsia"/>
                <w:lang w:val="en-US" w:eastAsia="zh-CN"/>
              </w:rPr>
              <w:t>李洪磊、刘加佳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3" w:hRule="atLeast"/>
        </w:trPr>
        <w:tc>
          <w:tcPr>
            <w:tcW w:w="1791" w:type="dxa"/>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7833" w:type="dxa"/>
            <w:gridSpan w:val="3"/>
            <w:vAlign w:val="center"/>
          </w:tcPr>
          <w:p>
            <w:pPr>
              <w:ind w:firstLine="480"/>
              <w:rPr>
                <w:rFonts w:hint="eastAsia"/>
                <w:b w:val="0"/>
                <w:bCs/>
                <w:lang w:val="en-US" w:eastAsia="zh-CN"/>
              </w:rPr>
            </w:pPr>
            <w:r>
              <w:rPr>
                <w:rFonts w:hint="eastAsia"/>
                <w:b/>
                <w:bCs w:val="0"/>
                <w:lang w:val="en-US" w:eastAsia="zh-CN"/>
              </w:rPr>
              <w:t>1、稿件策划上，</w:t>
            </w:r>
            <w:r>
              <w:rPr>
                <w:rFonts w:hint="eastAsia"/>
                <w:b/>
                <w:bCs w:val="0"/>
                <w:color w:val="auto"/>
                <w:lang w:val="en-US" w:eastAsia="zh-CN"/>
              </w:rPr>
              <w:t>高站位、</w:t>
            </w:r>
            <w:r>
              <w:rPr>
                <w:rFonts w:hint="eastAsia"/>
                <w:b/>
                <w:bCs w:val="0"/>
                <w:lang w:val="en-US" w:eastAsia="zh-CN"/>
              </w:rPr>
              <w:t>新角度</w:t>
            </w:r>
            <w:r>
              <w:rPr>
                <w:rFonts w:hint="eastAsia"/>
                <w:b/>
                <w:bCs w:val="0"/>
                <w:color w:val="auto"/>
                <w:lang w:val="en-US" w:eastAsia="zh-CN"/>
              </w:rPr>
              <w:t>。</w:t>
            </w:r>
            <w:r>
              <w:rPr>
                <w:rFonts w:hint="eastAsia"/>
                <w:b w:val="0"/>
                <w:bCs/>
                <w:color w:val="auto"/>
              </w:rPr>
              <w:t>我国有15亿亩盐碱地，</w:t>
            </w:r>
            <w:r>
              <w:rPr>
                <w:rFonts w:hint="eastAsia"/>
                <w:b w:val="0"/>
                <w:bCs/>
                <w:color w:val="auto"/>
                <w:lang w:eastAsia="zh-CN"/>
              </w:rPr>
              <w:t>其中有</w:t>
            </w:r>
            <w:r>
              <w:rPr>
                <w:rFonts w:hint="eastAsia"/>
                <w:b w:val="0"/>
                <w:bCs/>
                <w:color w:val="auto"/>
                <w:lang w:val="en-US" w:eastAsia="zh-CN"/>
              </w:rPr>
              <w:t>5亿亩可以利用。</w:t>
            </w:r>
            <w:r>
              <w:rPr>
                <w:rFonts w:hint="eastAsia"/>
                <w:b w:val="0"/>
                <w:bCs/>
                <w:color w:val="auto"/>
              </w:rPr>
              <w:t>党的十八大以来，习近平总书记高度重视耕地保护和利用，</w:t>
            </w:r>
            <w:r>
              <w:rPr>
                <w:rFonts w:hint="eastAsia"/>
                <w:b w:val="0"/>
                <w:bCs/>
                <w:color w:val="auto"/>
                <w:lang w:val="en-US" w:eastAsia="zh-CN"/>
              </w:rPr>
              <w:t>更是</w:t>
            </w:r>
            <w:r>
              <w:rPr>
                <w:rFonts w:hint="eastAsia"/>
                <w:b w:val="0"/>
                <w:bCs/>
                <w:color w:val="auto"/>
                <w:lang w:eastAsia="zh-CN"/>
              </w:rPr>
              <w:t>把“盐碱地综合利用”提升到战略高度</w:t>
            </w:r>
            <w:r>
              <w:rPr>
                <w:rFonts w:hint="eastAsia"/>
                <w:b w:val="0"/>
                <w:bCs/>
                <w:color w:val="auto"/>
                <w:lang w:val="en-US" w:eastAsia="zh-Hans"/>
              </w:rPr>
              <w:t>。</w:t>
            </w:r>
            <w:r>
              <w:rPr>
                <w:rFonts w:hint="eastAsia"/>
                <w:b/>
                <w:bCs w:val="0"/>
                <w:lang w:val="en-US" w:eastAsia="zh-CN"/>
              </w:rPr>
              <w:t>为更好贯彻总书记的指示精神，</w:t>
            </w:r>
            <w:r>
              <w:rPr>
                <w:rFonts w:hint="eastAsia"/>
                <w:b w:val="0"/>
                <w:bCs/>
                <w:lang w:val="en-US" w:eastAsia="zh-CN"/>
              </w:rPr>
              <w:t>每日电讯策划此次报道，从全国全盘出发，将各地各时期具有代表性的盐碱地治理技术路线“一版囊括”，从物理改土到生物改土，从原生植物驱盐到基因分子技术育种，从新角度解码盐碱地。</w:t>
            </w:r>
          </w:p>
          <w:p>
            <w:pPr>
              <w:ind w:firstLine="480"/>
              <w:rPr>
                <w:rFonts w:hint="eastAsia"/>
                <w:b w:val="0"/>
                <w:bCs/>
                <w:lang w:val="en-US" w:eastAsia="zh-CN"/>
              </w:rPr>
            </w:pPr>
            <w:r>
              <w:rPr>
                <w:rFonts w:hint="eastAsia"/>
                <w:b/>
                <w:bCs w:val="0"/>
                <w:lang w:val="en-US" w:eastAsia="zh-CN"/>
              </w:rPr>
              <w:t>2、稿件采写上，兼顾科学性和趣味性</w:t>
            </w:r>
            <w:r>
              <w:rPr>
                <w:rFonts w:hint="eastAsia"/>
                <w:b/>
                <w:bCs w:val="0"/>
                <w:lang w:eastAsia="zh-CN"/>
              </w:rPr>
              <w:t>。</w:t>
            </w:r>
            <w:r>
              <w:rPr>
                <w:rFonts w:hint="eastAsia"/>
                <w:b w:val="0"/>
                <w:bCs/>
                <w:lang w:val="en-US" w:eastAsia="zh-CN"/>
              </w:rPr>
              <w:t>为了采集各地的一手数据，每日电讯组织记者在半年时间里</w:t>
            </w:r>
            <w:r>
              <w:rPr>
                <w:rFonts w:hint="eastAsia"/>
                <w:b w:val="0"/>
                <w:bCs/>
              </w:rPr>
              <w:t>多次深入</w:t>
            </w:r>
            <w:r>
              <w:rPr>
                <w:rFonts w:hint="eastAsia"/>
                <w:b w:val="0"/>
                <w:bCs/>
                <w:lang w:val="en-US" w:eastAsia="zh-CN"/>
              </w:rPr>
              <w:t>我国五大盐碱地典型地区的田间地头</w:t>
            </w:r>
            <w:r>
              <w:rPr>
                <w:rFonts w:hint="eastAsia"/>
                <w:b w:val="0"/>
                <w:bCs/>
              </w:rPr>
              <w:t>，采访</w:t>
            </w:r>
            <w:r>
              <w:rPr>
                <w:rFonts w:hint="eastAsia"/>
                <w:b w:val="0"/>
                <w:bCs/>
                <w:lang w:val="en-US" w:eastAsia="zh-CN"/>
              </w:rPr>
              <w:t>了十余位学科权威和一线农户</w:t>
            </w:r>
            <w:r>
              <w:rPr>
                <w:rFonts w:hint="eastAsia"/>
                <w:b w:val="0"/>
                <w:bCs/>
              </w:rPr>
              <w:t>，</w:t>
            </w:r>
            <w:r>
              <w:rPr>
                <w:rFonts w:hint="eastAsia"/>
                <w:b w:val="0"/>
                <w:bCs/>
                <w:lang w:val="en-US" w:eastAsia="zh-CN"/>
              </w:rPr>
              <w:t>力求采集带有“泥土清香”的一手见闻。在稿件采写中，力求将盐碱地改良背后相对复杂的科学原理用最简单生动的语言传达给读者。</w:t>
            </w:r>
          </w:p>
          <w:p>
            <w:pPr>
              <w:ind w:firstLine="480"/>
              <w:rPr>
                <w:rFonts w:ascii="仿宋" w:hAnsi="仿宋" w:eastAsia="仿宋"/>
                <w:color w:val="000000"/>
                <w:w w:val="95"/>
                <w:szCs w:val="21"/>
              </w:rPr>
            </w:pPr>
            <w:r>
              <w:rPr>
                <w:rFonts w:hint="eastAsia"/>
                <w:b/>
                <w:bCs w:val="0"/>
                <w:lang w:val="en-US" w:eastAsia="zh-CN"/>
              </w:rPr>
              <w:t>3、版面设计上，兼具艺术性和功能性。</w:t>
            </w:r>
            <w:r>
              <w:rPr>
                <w:rFonts w:hint="eastAsia"/>
                <w:b w:val="0"/>
                <w:bCs/>
                <w:lang w:val="en-US" w:eastAsia="zh-CN"/>
              </w:rPr>
              <w:t>每日电讯发挥版面设计的传统优势，对版面精雕细琢，迭代数十个版本。版面中心用一束巨大的麦穗“先声夺人”，中间镶嵌着科学家在盐碱地上自豪地展示“作品”的图片；版面两侧分列“盐碱地资料卡”和“盐碱地景观图”，以及一张高达5.5米的耐盐碱高粱图片作为点缀。通过精心设计，版面图文交融，主次得当，给读者丰富而不杂乱、美观且有信息量的高质量阅读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0" w:hRule="exact"/>
        </w:trPr>
        <w:tc>
          <w:tcPr>
            <w:tcW w:w="1791" w:type="dxa"/>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社</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会</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效</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果</w:t>
            </w:r>
          </w:p>
        </w:tc>
        <w:tc>
          <w:tcPr>
            <w:tcW w:w="7833" w:type="dxa"/>
            <w:gridSpan w:val="3"/>
            <w:vAlign w:val="center"/>
          </w:tcPr>
          <w:p>
            <w:pPr>
              <w:ind w:firstLine="420"/>
              <w:rPr>
                <w:rFonts w:hint="eastAsia"/>
                <w:b w:val="0"/>
                <w:bCs/>
                <w:lang w:val="en-US" w:eastAsia="zh-CN"/>
              </w:rPr>
            </w:pPr>
            <w:r>
              <w:rPr>
                <w:rFonts w:hint="eastAsia"/>
                <w:b w:val="0"/>
                <w:bCs/>
              </w:rPr>
              <w:t>组稿</w:t>
            </w:r>
            <w:r>
              <w:rPr>
                <w:rFonts w:hint="eastAsia"/>
                <w:b w:val="0"/>
                <w:bCs/>
                <w:lang w:val="en-US" w:eastAsia="zh-CN"/>
              </w:rPr>
              <w:t>一经刊发，引起盐碱地治理领域专家学者的点赞，科学家对文章的科学性和科普性给出很高评价，认为是对我国当前盐碱地综合治理成就最全面最权威最生动最有效的一次报道；中国科学院官网转载并肯定，腾讯网、搜狐网、新浪网等媒体也广泛转载。</w:t>
            </w:r>
          </w:p>
          <w:p>
            <w:pPr>
              <w:ind w:firstLine="420"/>
              <w:rPr>
                <w:rFonts w:ascii="仿宋" w:hAnsi="仿宋" w:eastAsia="仿宋"/>
                <w:color w:val="000000"/>
                <w:szCs w:val="21"/>
              </w:rPr>
            </w:pPr>
            <w:r>
              <w:rPr>
                <w:rFonts w:hint="eastAsia"/>
                <w:b w:val="0"/>
                <w:bCs/>
                <w:lang w:val="en-US" w:eastAsia="zh-CN"/>
              </w:rPr>
              <w:t>江苏沿海地区农业科学研究所盐土农业研究室主任邢锦城表示，各地盐碱地治理“条块分割”“各自为战”的局面日益成为盐碱地治理迈向更高水平的阻碍之一，而本组报道很敏锐地关注到这一问题，并从媒体的角度为全国盐碱地治理技术的交流合作提供了契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9" w:hRule="exact"/>
        </w:trPr>
        <w:tc>
          <w:tcPr>
            <w:tcW w:w="1791" w:type="dxa"/>
            <w:tcBorders>
              <w:bottom w:val="single" w:color="auto" w:sz="4" w:space="0"/>
            </w:tcBorders>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7833" w:type="dxa"/>
            <w:gridSpan w:val="3"/>
            <w:tcBorders>
              <w:bottom w:val="single" w:color="auto" w:sz="4" w:space="0"/>
            </w:tcBorders>
            <w:vAlign w:val="center"/>
          </w:tcPr>
          <w:p>
            <w:pPr>
              <w:rPr>
                <w:rFonts w:hint="eastAsia"/>
                <w:b w:val="0"/>
                <w:bCs/>
                <w:lang w:val="en-US" w:eastAsia="zh-CN"/>
              </w:rPr>
            </w:pPr>
          </w:p>
          <w:p>
            <w:pPr>
              <w:ind w:firstLine="420" w:firstLineChars="200"/>
              <w:rPr>
                <w:rFonts w:hint="default"/>
                <w:b w:val="0"/>
                <w:bCs/>
                <w:lang w:val="en-US" w:eastAsia="zh-CN"/>
              </w:rPr>
            </w:pPr>
            <w:r>
              <w:rPr>
                <w:rFonts w:hint="eastAsia"/>
                <w:b w:val="0"/>
                <w:bCs/>
                <w:lang w:val="en-US" w:eastAsia="zh-CN"/>
              </w:rPr>
              <w:t>1、紧跟党中央决策部署，带着问题意识策划，针对调研中发现的盐碱地治理“条块分割”问题，给出具有建设性的媒体关注。</w:t>
            </w:r>
          </w:p>
          <w:p>
            <w:pPr>
              <w:ind w:firstLine="420" w:firstLineChars="200"/>
              <w:rPr>
                <w:rFonts w:hint="default"/>
                <w:b w:val="0"/>
                <w:bCs/>
                <w:lang w:val="en-US" w:eastAsia="zh-CN"/>
              </w:rPr>
            </w:pPr>
            <w:r>
              <w:rPr>
                <w:rFonts w:hint="eastAsia"/>
                <w:b w:val="0"/>
                <w:bCs/>
                <w:lang w:val="en-US" w:eastAsia="zh-CN"/>
              </w:rPr>
              <w:t>2、创新性强，针对传统盐碱地报道聚焦“一人一地一技术”的局限，每日电讯将全国各地的技术路线进行了一次“大汇总”，从新的角度解码盐碱地治理。</w:t>
            </w:r>
          </w:p>
          <w:p>
            <w:pPr>
              <w:ind w:firstLine="420" w:firstLineChars="200"/>
              <w:rPr>
                <w:rFonts w:hint="eastAsia"/>
                <w:b w:val="0"/>
                <w:bCs/>
                <w:lang w:val="en-US" w:eastAsia="zh-CN"/>
              </w:rPr>
            </w:pPr>
            <w:r>
              <w:rPr>
                <w:rFonts w:hint="eastAsia"/>
                <w:b w:val="0"/>
                <w:bCs/>
                <w:lang w:val="en-US" w:eastAsia="zh-CN"/>
              </w:rPr>
              <w:t>3、内容丰富，编排有序，主体设计“双手捧土”与图文有机结合，有效引导分割内容，以一个通版的体量，将盐碱地的成因、分布、治理原理、具体技术“一网打尽”。</w:t>
            </w:r>
          </w:p>
          <w:p>
            <w:pPr>
              <w:spacing w:line="260" w:lineRule="exact"/>
              <w:rPr>
                <w:rFonts w:ascii="华文中宋" w:hAnsi="华文中宋" w:eastAsia="华文中宋"/>
                <w:color w:val="000000"/>
                <w:spacing w:val="-2"/>
                <w:sz w:val="28"/>
              </w:rPr>
            </w:pPr>
            <w:r>
              <w:rPr>
                <w:rFonts w:hint="eastAsia" w:ascii="仿宋_GB2312" w:hAnsi="仿宋"/>
                <w:color w:val="000000"/>
                <w:sz w:val="24"/>
                <w:szCs w:val="18"/>
              </w:rPr>
              <w:t xml:space="preserve">   </w:t>
            </w:r>
            <w:r>
              <w:rPr>
                <w:rFonts w:hint="eastAsia" w:ascii="华文中宋" w:hAnsi="华文中宋" w:eastAsia="华文中宋"/>
                <w:color w:val="000000"/>
                <w:spacing w:val="-2"/>
                <w:sz w:val="28"/>
              </w:rPr>
              <w:t xml:space="preserve">                      </w:t>
            </w:r>
          </w:p>
          <w:p>
            <w:pPr>
              <w:spacing w:line="360" w:lineRule="exact"/>
              <w:rPr>
                <w:rFonts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p>
          <w:p>
            <w:pPr>
              <w:rPr>
                <w:rFonts w:ascii="仿宋" w:hAnsi="仿宋" w:eastAsia="仿宋"/>
                <w:color w:val="000000"/>
                <w:szCs w:val="21"/>
              </w:rPr>
            </w:pPr>
            <w:r>
              <w:rPr>
                <w:rFonts w:hint="eastAsia" w:ascii="仿宋_GB2312"/>
                <w:color w:val="000000"/>
                <w:sz w:val="28"/>
              </w:rPr>
              <w:t xml:space="preserve">                                 </w:t>
            </w: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年</w:t>
            </w:r>
            <w:r>
              <w:rPr>
                <w:rFonts w:hint="eastAsia" w:ascii="华文中宋" w:hAnsi="华文中宋" w:eastAsia="华文中宋"/>
                <w:color w:val="000000"/>
                <w:sz w:val="28"/>
                <w:lang w:val="en-US" w:eastAsia="zh-CN"/>
              </w:rPr>
              <w:t>4</w:t>
            </w:r>
            <w:r>
              <w:rPr>
                <w:rFonts w:hint="eastAsia" w:ascii="华文中宋" w:hAnsi="华文中宋" w:eastAsia="华文中宋"/>
                <w:color w:val="000000"/>
                <w:sz w:val="28"/>
              </w:rPr>
              <w:t>月</w:t>
            </w:r>
            <w:r>
              <w:rPr>
                <w:rFonts w:hint="eastAsia" w:ascii="华文中宋" w:hAnsi="华文中宋" w:eastAsia="华文中宋"/>
                <w:color w:val="000000"/>
                <w:sz w:val="28"/>
                <w:lang w:val="en-US" w:eastAsia="zh-CN"/>
              </w:rPr>
              <w:t>2</w:t>
            </w:r>
            <w:r>
              <w:rPr>
                <w:rFonts w:hint="eastAsia" w:ascii="华文中宋" w:hAnsi="华文中宋" w:eastAsia="华文中宋"/>
                <w:color w:val="000000"/>
                <w:sz w:val="28"/>
              </w:rPr>
              <w:t>日</w:t>
            </w:r>
          </w:p>
        </w:tc>
      </w:tr>
    </w:tbl>
    <w:p/>
    <w:p>
      <w:r>
        <w:drawing>
          <wp:inline distT="0" distB="0" distL="114300" distR="114300">
            <wp:extent cx="7620000" cy="5215255"/>
            <wp:effectExtent l="0" t="0" r="4445" b="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4"/>
                    <a:stretch>
                      <a:fillRect/>
                    </a:stretch>
                  </pic:blipFill>
                  <pic:spPr>
                    <a:xfrm rot="5400000">
                      <a:off x="0" y="0"/>
                      <a:ext cx="7620000" cy="52152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Verdana">
    <w:altName w:val="Ubuntu"/>
    <w:panose1 w:val="020B0604030504040204"/>
    <w:charset w:val="00"/>
    <w:family w:val="swiss"/>
    <w:pitch w:val="default"/>
    <w:sig w:usb0="00000000" w:usb1="00000000" w:usb2="00000010" w:usb3="00000000" w:csb0="2000019F"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Ubuntu">
    <w:panose1 w:val="020B0604030602030204"/>
    <w:charset w:val="00"/>
    <w:family w:val="auto"/>
    <w:pitch w:val="default"/>
    <w:sig w:usb0="E00002FF" w:usb1="5000205B" w:usb2="00000000" w:usb3="00000000" w:csb0="2000009F" w:csb1="56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1219AE"/>
    <w:rsid w:val="3F7BBFE4"/>
    <w:rsid w:val="55406916"/>
    <w:rsid w:val="65EA2ED2"/>
    <w:rsid w:val="7FBF8371"/>
    <w:rsid w:val="F1DF3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xhs</dc:creator>
  <cp:lastModifiedBy>yjy</cp:lastModifiedBy>
  <dcterms:modified xsi:type="dcterms:W3CDTF">2024-04-26T16:12:40Z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1D1D0E9B39AFB3264D711F66090BB023_43</vt:lpwstr>
  </property>
</Properties>
</file>