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数字化</w:t>
      </w:r>
      <w:r>
        <w:rPr>
          <w:rFonts w:hint="eastAsia" w:ascii="黑体" w:hAnsi="黑体" w:eastAsia="黑体"/>
          <w:sz w:val="36"/>
          <w:szCs w:val="21"/>
          <w:lang w:eastAsia="zh-CN"/>
        </w:rPr>
        <w:t>赋能新型工业化优秀</w:t>
      </w:r>
      <w:bookmarkStart w:id="0" w:name="_GoBack"/>
      <w:bookmarkEnd w:id="0"/>
      <w:r>
        <w:rPr>
          <w:rFonts w:hint="eastAsia" w:ascii="黑体" w:hAnsi="黑体" w:eastAsia="黑体"/>
          <w:sz w:val="36"/>
          <w:szCs w:val="21"/>
        </w:rPr>
        <w:t>解决方案</w:t>
      </w:r>
    </w:p>
    <w:p>
      <w:pPr>
        <w:spacing w:line="360" w:lineRule="auto"/>
        <w:jc w:val="center"/>
        <w:rPr>
          <w:rFonts w:ascii="楷体_GB2312" w:hAnsi="宋体" w:eastAsia="楷体_GB2312"/>
          <w:bCs/>
          <w:caps/>
          <w:sz w:val="32"/>
          <w:szCs w:val="21"/>
        </w:rPr>
      </w:pPr>
      <w:r>
        <w:rPr>
          <w:rFonts w:hint="eastAsia" w:ascii="楷体_GB2312" w:hAnsi="宋体" w:eastAsia="楷体_GB2312"/>
          <w:bCs/>
          <w:caps/>
          <w:sz w:val="32"/>
          <w:szCs w:val="21"/>
        </w:rPr>
        <w:t>（选取已面向市场广泛应用的典型解决方案）</w:t>
      </w:r>
    </w:p>
    <w:p>
      <w:pPr>
        <w:ind w:left="-708" w:leftChars="-337" w:right="-1191" w:rightChars="-567" w:firstLine="240" w:firstLineChars="100"/>
        <w:jc w:val="left"/>
        <w:rPr>
          <w:rFonts w:ascii="楷体_GB2312" w:eastAsia="楷体_GB2312"/>
          <w:kern w:val="0"/>
          <w:sz w:val="24"/>
        </w:rPr>
      </w:pPr>
    </w:p>
    <w:tbl>
      <w:tblPr>
        <w:tblStyle w:val="5"/>
        <w:tblW w:w="89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260"/>
        <w:gridCol w:w="711"/>
        <w:gridCol w:w="3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解决方案名称</w:t>
            </w:r>
          </w:p>
        </w:tc>
        <w:tc>
          <w:tcPr>
            <w:tcW w:w="75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解决方案类型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业务垂直型</w:t>
            </w:r>
          </w:p>
          <w:p>
            <w:pP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>研发设计（如CAD、CAE）</w:t>
            </w:r>
          </w:p>
          <w:p>
            <w:pPr>
              <w:rPr>
                <w:rFonts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 xml:space="preserve">生产制造（如MES、PLC、SCADA）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 </w:t>
            </w:r>
          </w:p>
          <w:p>
            <w:pPr>
              <w:rPr>
                <w:rFonts w:hint="default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>企业资源管理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>营销与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客户运营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□采购与供应链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rPr>
                <w:rFonts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□协同办公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>网络通信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□运维与安全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□其他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960" w:firstLineChars="400"/>
              <w:rPr>
                <w:rFonts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行业垂直型</w:t>
            </w:r>
          </w:p>
          <w:p>
            <w:pP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 xml:space="preserve">电子信息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>原材料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 xml:space="preserve">消费品 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>装备制造</w:t>
            </w:r>
          </w:p>
          <w:p>
            <w:pPr>
              <w:rPr>
                <w:rFonts w:hint="default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 xml:space="preserve">有色金属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>石化化工</w:t>
            </w:r>
          </w:p>
          <w:p>
            <w:pPr>
              <w:rPr>
                <w:rFonts w:hint="default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 xml:space="preserve">医药生物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 xml:space="preserve">建材 </w:t>
            </w:r>
          </w:p>
          <w:p>
            <w:pPr>
              <w:rPr>
                <w:rFonts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>物流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>电子商务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□其他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□其他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技术来源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□自研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 □开源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□独立研发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 □合作研发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实施周期</w:t>
            </w:r>
          </w:p>
        </w:tc>
        <w:tc>
          <w:tcPr>
            <w:tcW w:w="75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□1-3个月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 □3-6个月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□6-12个月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□1年以上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交付模式</w:t>
            </w:r>
          </w:p>
        </w:tc>
        <w:tc>
          <w:tcPr>
            <w:tcW w:w="75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□产品交付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 □产品交付+售后运维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□其他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部署模式</w:t>
            </w:r>
          </w:p>
        </w:tc>
        <w:tc>
          <w:tcPr>
            <w:tcW w:w="75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□公有云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□私有云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 xml:space="preserve"> □混合云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□其他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微软雅黑" w:eastAsia="仿宋_GB2312"/>
                <w:color w:val="000000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4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客户对象</w:t>
            </w:r>
          </w:p>
        </w:tc>
        <w:tc>
          <w:tcPr>
            <w:tcW w:w="75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规上企业</w:t>
            </w:r>
            <w:r>
              <w:rPr>
                <w:rFonts w:hint="eastAsia" w:ascii="仿宋_GB2312" w:hAnsi="微软雅黑"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/>
                <w:color w:val="000000"/>
                <w:kern w:val="0"/>
                <w:sz w:val="24"/>
                <w:szCs w:val="24"/>
              </w:rPr>
              <w:t xml:space="preserve"> □中</w:t>
            </w:r>
            <w:r>
              <w:rPr>
                <w:rFonts w:hint="eastAsia" w:ascii="仿宋_GB2312" w:hAnsi="微软雅黑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仿宋_GB2312" w:hAnsi="微软雅黑" w:eastAsia="仿宋_GB2312"/>
                <w:color w:val="000000"/>
                <w:kern w:val="0"/>
                <w:sz w:val="24"/>
                <w:szCs w:val="24"/>
              </w:rPr>
              <w:t>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主要客户（客户企业名称）</w:t>
            </w:r>
          </w:p>
        </w:tc>
        <w:tc>
          <w:tcPr>
            <w:tcW w:w="75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7" w:hRule="atLeast"/>
          <w:jc w:val="center"/>
        </w:trPr>
        <w:tc>
          <w:tcPr>
            <w:tcW w:w="8929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解决方案简介</w:t>
            </w: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7" w:hRule="atLeast"/>
          <w:jc w:val="center"/>
        </w:trPr>
        <w:tc>
          <w:tcPr>
            <w:tcW w:w="89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解决方案技术特点</w:t>
            </w: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0" w:hRule="atLeast"/>
          <w:jc w:val="center"/>
        </w:trPr>
        <w:tc>
          <w:tcPr>
            <w:tcW w:w="89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解决方案的实施效果、推广价值</w:t>
            </w:r>
          </w:p>
          <w:p>
            <w:pPr>
              <w:snapToGrid w:val="0"/>
              <w:ind w:firstLine="482"/>
              <w:rPr>
                <w:rFonts w:ascii="仿宋_GB2312" w:hAnsi="等线" w:eastAsia="仿宋_GB2312" w:cs="Times New Roman"/>
                <w:kern w:val="0"/>
                <w:sz w:val="32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center"/>
              <w:rPr>
                <w:rFonts w:ascii="仿宋_GB2312" w:hAnsi="等线" w:eastAsia="仿宋_GB2312" w:cs="Times New Roman"/>
                <w:kern w:val="0"/>
                <w:sz w:val="32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32"/>
              </w:rPr>
              <w:t xml:space="preserve">         </w:t>
            </w:r>
            <w:r>
              <w:rPr>
                <w:rFonts w:ascii="仿宋_GB2312" w:hAnsi="等线" w:eastAsia="仿宋_GB2312" w:cs="Times New Roman"/>
                <w:kern w:val="0"/>
                <w:sz w:val="32"/>
              </w:rPr>
              <w:t xml:space="preserve">              </w:t>
            </w: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jc w:val="right"/>
        <w:rPr>
          <w:rFonts w:ascii="黑体" w:hAnsi="黑体" w:eastAsia="黑体"/>
          <w:sz w:val="21"/>
          <w:szCs w:val="21"/>
        </w:rPr>
      </w:pPr>
    </w:p>
    <w:p>
      <w:pPr>
        <w:widowControl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注：申报单位要对填写内容及提供的所有文件、资料的真实性负责。请于11月17日前将表格发送至44645040@qq.com邮箱。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3105F"/>
    <w:multiLevelType w:val="multilevel"/>
    <w:tmpl w:val="A6B3105F"/>
    <w:lvl w:ilvl="0" w:tentative="0">
      <w:start w:val="1"/>
      <w:numFmt w:val="chineseCountingThousand"/>
      <w:pStyle w:val="3"/>
      <w:lvlText w:val="（%1）"/>
      <w:lvlJc w:val="left"/>
      <w:pPr>
        <w:ind w:left="1080" w:hanging="480"/>
      </w:pPr>
      <w:rPr>
        <w:rFonts w:hint="eastAsia" w:ascii="黑体" w:hAnsi="黑体" w:eastAsia="黑体"/>
        <w:b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560" w:hanging="48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2040" w:hanging="48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520" w:hanging="48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3000" w:hanging="48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80" w:hanging="48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60" w:hanging="48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440" w:hanging="48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9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jBlNDM4NzE2ZmI5NGQyNTAwMTk3M2ZkNTc3MmMifQ=="/>
  </w:docVars>
  <w:rsids>
    <w:rsidRoot w:val="57110C57"/>
    <w:rsid w:val="020022E0"/>
    <w:rsid w:val="029F7154"/>
    <w:rsid w:val="0C56100B"/>
    <w:rsid w:val="16340373"/>
    <w:rsid w:val="2D5B7F98"/>
    <w:rsid w:val="327D700D"/>
    <w:rsid w:val="3C6109FB"/>
    <w:rsid w:val="46A10F1D"/>
    <w:rsid w:val="49C74598"/>
    <w:rsid w:val="49F84F45"/>
    <w:rsid w:val="51E8779D"/>
    <w:rsid w:val="56343F18"/>
    <w:rsid w:val="57110C57"/>
    <w:rsid w:val="5D092AA9"/>
    <w:rsid w:val="61CD6E54"/>
    <w:rsid w:val="67C41CBB"/>
    <w:rsid w:val="6A5A7287"/>
    <w:rsid w:val="77E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tabs>
        <w:tab w:val="left" w:pos="425"/>
      </w:tabs>
      <w:spacing w:before="120" w:after="120" w:line="360" w:lineRule="auto"/>
      <w:ind w:left="992" w:firstLine="803" w:firstLineChars="200"/>
      <w:outlineLvl w:val="0"/>
    </w:pPr>
    <w:rPr>
      <w:rFonts w:ascii="Times New Roman" w:hAnsi="Times New Roman" w:eastAsia="黑体" w:cs="Times New Roman"/>
      <w:kern w:val="44"/>
      <w:sz w:val="36"/>
      <w:szCs w:val="2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numPr>
        <w:ilvl w:val="0"/>
        <w:numId w:val="1"/>
      </w:numPr>
      <w:adjustRightInd w:val="0"/>
      <w:spacing w:before="120" w:after="120"/>
      <w:ind w:left="0" w:firstLine="723" w:firstLineChars="200"/>
      <w:contextualSpacing/>
      <w:jc w:val="both"/>
      <w:outlineLvl w:val="1"/>
    </w:pPr>
    <w:rPr>
      <w:rFonts w:ascii="仿宋" w:hAnsi="仿宋" w:eastAsia="楷体_GB2312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标题 2字符"/>
    <w:basedOn w:val="6"/>
    <w:link w:val="3"/>
    <w:qFormat/>
    <w:uiPriority w:val="0"/>
    <w:rPr>
      <w:rFonts w:ascii="仿宋" w:hAnsi="仿宋" w:eastAsia="楷体_GB2312" w:cs="Times New Roman"/>
      <w:b/>
      <w:bCs/>
      <w:sz w:val="32"/>
      <w:szCs w:val="32"/>
    </w:rPr>
  </w:style>
  <w:style w:type="character" w:customStyle="1" w:styleId="8">
    <w:name w:val="标题 1 Char"/>
    <w:basedOn w:val="6"/>
    <w:link w:val="2"/>
    <w:qFormat/>
    <w:uiPriority w:val="0"/>
    <w:rPr>
      <w:rFonts w:ascii="Times New Roman" w:hAnsi="Times New Roman" w:eastAsia="黑体" w:cs="Times New Roman"/>
      <w:kern w:val="44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2023-10-07T07:52:00Z</dcterms:created>
  <dc:creator>clairelee</dc:creator>
  <cp:lastModifiedBy>水上寒</cp:lastModifiedBy>
  <dcterms:modified xsi:type="dcterms:W3CDTF">2023-10-10T03:15:14Z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0F979427B5A9434E97CA3374D9DE12AE_13</vt:lpwstr>
  </property>
</Properties>
</file>